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823" w:rsidRPr="002C39D9" w:rsidRDefault="00063823" w:rsidP="002C39D9">
      <w:pPr>
        <w:pStyle w:val="a3"/>
        <w:shd w:val="clear" w:color="auto" w:fill="FFFFFF"/>
        <w:spacing w:before="0" w:beforeAutospacing="0" w:after="120" w:afterAutospacing="0"/>
        <w:jc w:val="both"/>
        <w:rPr>
          <w:color w:val="000000"/>
        </w:rPr>
      </w:pPr>
    </w:p>
    <w:p w:rsidR="002C39D9" w:rsidRPr="002C39D9" w:rsidRDefault="002C39D9" w:rsidP="002C39D9">
      <w:pPr>
        <w:pStyle w:val="a3"/>
        <w:shd w:val="clear" w:color="auto" w:fill="FFFFFF"/>
        <w:spacing w:before="0" w:beforeAutospacing="0" w:after="120" w:afterAutospacing="0"/>
        <w:jc w:val="both"/>
        <w:rPr>
          <w:color w:val="000000"/>
        </w:rPr>
      </w:pPr>
      <w:r w:rsidRPr="002C39D9">
        <w:rPr>
          <w:b/>
          <w:bCs/>
          <w:color w:val="000000"/>
        </w:rPr>
        <w:t>3. Требования к участникам конкурсного отбора: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3.1. по состоянию на любую дату в течение периода, равного</w:t>
      </w:r>
      <w:r w:rsidRPr="002C39D9">
        <w:rPr>
          <w:color w:val="000000"/>
        </w:rPr>
        <w:br/>
        <w:t>30 календарным дням, предшествующего дате подачи заявки:</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3.1.1.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 (по состоянию на любую дату в течении периода, равного 30 календарным дням, предшествующего дате подачи заявки, и (или) периода равного 30 календарным дням, следующего за датой подачи заявки и документов для получения гранта (включая соответствующую дату подачи таких документов), но не позднее даты окончания приема документов или в течении периода, равного 11 календарным дням, следующего за датой после приема документов для получения гранта);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3.1.2. отсутствует просроченная задолженность по возврату в бюджет Пермского края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Пермским краем;</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3.1.3. участник конкурсного отбора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а участник конкурсного отбора – индивидуальный предприниматель не должен прекратить деятельность в качестве индивидуального предпринимателя;</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3.1.4.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2C39D9">
        <w:rPr>
          <w:color w:val="000000"/>
        </w:rPr>
        <w:t>офшорного</w:t>
      </w:r>
      <w:proofErr w:type="spellEnd"/>
      <w:r w:rsidRPr="002C39D9">
        <w:rPr>
          <w:color w:val="000000"/>
        </w:rPr>
        <w:t xml:space="preserve">) владения активами в Российской Федерации (далее - </w:t>
      </w:r>
      <w:proofErr w:type="spellStart"/>
      <w:r w:rsidRPr="002C39D9">
        <w:rPr>
          <w:color w:val="000000"/>
        </w:rPr>
        <w:t>офшорные</w:t>
      </w:r>
      <w:proofErr w:type="spellEnd"/>
      <w:r w:rsidRPr="002C39D9">
        <w:rPr>
          <w:color w:val="000000"/>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2C39D9">
        <w:rPr>
          <w:color w:val="000000"/>
        </w:rPr>
        <w:t>офшорных</w:t>
      </w:r>
      <w:proofErr w:type="spellEnd"/>
      <w:r w:rsidRPr="002C39D9">
        <w:rPr>
          <w:color w:val="000000"/>
        </w:rPr>
        <w:t xml:space="preserve"> компаний в совокупности превышает 25 процентов (если иное не предусмотрено законодательством Российской Федерации). При расчете доли участия </w:t>
      </w:r>
      <w:proofErr w:type="spellStart"/>
      <w:r w:rsidRPr="002C39D9">
        <w:rPr>
          <w:color w:val="000000"/>
        </w:rPr>
        <w:t>офшорных</w:t>
      </w:r>
      <w:proofErr w:type="spellEnd"/>
      <w:r w:rsidRPr="002C39D9">
        <w:rPr>
          <w:color w:val="000000"/>
        </w:rPr>
        <w:t xml:space="preserve"> компаний в капитале российских юридических лиц не учитывается прямое и (или) косвенное участие </w:t>
      </w:r>
      <w:proofErr w:type="spellStart"/>
      <w:r w:rsidRPr="002C39D9">
        <w:rPr>
          <w:color w:val="000000"/>
        </w:rPr>
        <w:t>офшорных</w:t>
      </w:r>
      <w:proofErr w:type="spellEnd"/>
      <w:r w:rsidRPr="002C39D9">
        <w:rPr>
          <w:color w:val="000000"/>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2C39D9">
        <w:rPr>
          <w:color w:val="000000"/>
        </w:rPr>
        <w:t>офшорных</w:t>
      </w:r>
      <w:proofErr w:type="spellEnd"/>
      <w:r w:rsidRPr="002C39D9">
        <w:rPr>
          <w:color w:val="000000"/>
        </w:rPr>
        <w:t xml:space="preserve"> компаний в капитале других российских юридических лиц, реализованное через участие в капитале указанных публичных акционерных обществ;</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3.1.5. не получал средства из бюджета Пермского края на основании иных нормативных правовых актов или муниципальных правовых актов на цели, указанные в пункте 1.2 Порядка;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3.2. зарегистрирован и осуществляет деятельность на территории Пермского края;</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3.3. соответствует требованиям, установленным статьей 4 Федерального закона № 209-ФЗ;</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3.4. сведения о признании социальным предприятием в порядке, установленном в соответствии с частью 3 статьи 24.1 Федерального закона № 209-ФЗ, внесены в единый реестр субъектов МСП в период с 10 июля по 31 декабря текущего календарного года </w:t>
      </w:r>
      <w:r w:rsidRPr="002C39D9">
        <w:rPr>
          <w:b/>
          <w:bCs/>
          <w:color w:val="000000"/>
        </w:rPr>
        <w:t>(для социального предприятия)</w:t>
      </w:r>
      <w:r w:rsidRPr="002C39D9">
        <w:rPr>
          <w:color w:val="000000"/>
        </w:rPr>
        <w:t>;</w:t>
      </w:r>
    </w:p>
    <w:p w:rsidR="002C39D9" w:rsidRPr="002C39D9" w:rsidRDefault="002C39D9" w:rsidP="00063823">
      <w:pPr>
        <w:pStyle w:val="a3"/>
        <w:shd w:val="clear" w:color="auto" w:fill="FFFFFF"/>
        <w:spacing w:before="0" w:beforeAutospacing="0" w:after="120" w:afterAutospacing="0"/>
        <w:jc w:val="both"/>
        <w:rPr>
          <w:color w:val="000000"/>
        </w:rPr>
      </w:pPr>
      <w:r w:rsidRPr="002C39D9">
        <w:rPr>
          <w:color w:val="000000"/>
        </w:rPr>
        <w:lastRenderedPageBreak/>
        <w:t>создан физическим лицом до 25 лет включительно на дату подачи заявки и соответствует требованиям, установленным пунктом 1.3.4 Порядка</w:t>
      </w:r>
      <w:r w:rsidRPr="002C39D9">
        <w:rPr>
          <w:b/>
          <w:bCs/>
          <w:color w:val="000000"/>
        </w:rPr>
        <w:t>(для молодого предпринимателя)</w:t>
      </w:r>
      <w:r w:rsidRPr="002C39D9">
        <w:rPr>
          <w:color w:val="000000"/>
        </w:rPr>
        <w:t>;</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3.5. субъект МСП, впервые признанный социальным предприятием, прошел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проведение которой организовано Центром поддержки предпринимательства, Центром инноваций социальной сферы или акционерным обществом «Федеральная корпорация развития малого и среднего предпринимательства» в целях допуска социального предприятия к защите проекта в рамках конкурсного отбора или субъект МСП, подтвердивший статус социального предприятия, реализует ранее созданный социальный проект;</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3.6. субъект МСП, молодой предприниматель и (или) физическое лицо, заинтересованное в начале осуществления предпринимательской деятельности, прошли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Центром поддержки предпринимательства, Центром инноваций социальной сферы или акционерным обществом «Федеральная корпорация развития малого и среднего предпринимательства;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 xml:space="preserve">3.7. обеспечивает </w:t>
      </w:r>
      <w:proofErr w:type="spellStart"/>
      <w:r w:rsidRPr="002C39D9">
        <w:rPr>
          <w:color w:val="000000"/>
        </w:rPr>
        <w:t>софинансирование</w:t>
      </w:r>
      <w:proofErr w:type="spellEnd"/>
      <w:r w:rsidRPr="002C39D9">
        <w:rPr>
          <w:color w:val="000000"/>
        </w:rPr>
        <w:t xml:space="preserve"> расходов, связанных с реализацией проекта, в размере не менее 25% от размера расходов, предусмотренных на реализацию проекта, которое также предоставляется в целях финансового обеспечения данных расходов;</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3.8.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3.9. не осуществляет предпринимательскую деятельность в сфере игорного бизнеса;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3.10. не является участником соглашений о разделе продукции;</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3.11.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3.12.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при этом основной и дополнительные виды деятельности субъектов МСП также не содержат коды Общероссийского классификатора видов экономической деятельности, предусматривающие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3.13. не признавался совершившим нарушение порядка и условий оказания поддержки в течение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Агентством,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не признавался совершившим такое нарушение в течение трех лет;</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 xml:space="preserve">3.14. ранее в отношении участника конкурсного отбора не было принято решение об оказании аналогичной государственной поддержки (государственной поддержки, условия оказания которой совпадают, включая форму, вид поддержки и цели ее оказания, с </w:t>
      </w:r>
      <w:r w:rsidRPr="002C39D9">
        <w:rPr>
          <w:color w:val="000000"/>
        </w:rPr>
        <w:lastRenderedPageBreak/>
        <w:t>формой, видами и целями предоставления субсидий, установленными Порядком) и сроки ее оказания не истекли.</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Проверка заявки участника конкурсного отбора на соответствие требованиям, установленным </w:t>
      </w:r>
      <w:hyperlink r:id="rId5" w:history="1">
        <w:r w:rsidRPr="002C39D9">
          <w:rPr>
            <w:rStyle w:val="a4"/>
            <w:color w:val="auto"/>
            <w:u w:val="none"/>
          </w:rPr>
          <w:t>пунктом 2.3.12</w:t>
        </w:r>
      </w:hyperlink>
      <w:r w:rsidRPr="002C39D9">
        <w:rPr>
          <w:color w:val="000000"/>
        </w:rPr>
        <w:t> Порядка и пунктом 3.12 настоящего объявления, производится Агентством на основании сведений, содержащихся в Едином государственном реестре юридических лиц или Едином государственном реестре индивидуальных предпринимателей.</w:t>
      </w:r>
    </w:p>
    <w:p w:rsidR="002C39D9" w:rsidRPr="002C39D9" w:rsidRDefault="002C39D9" w:rsidP="002C39D9">
      <w:pPr>
        <w:pStyle w:val="a3"/>
        <w:shd w:val="clear" w:color="auto" w:fill="FFFFFF"/>
        <w:spacing w:before="0" w:beforeAutospacing="0" w:after="120" w:afterAutospacing="0"/>
        <w:jc w:val="both"/>
        <w:rPr>
          <w:color w:val="000000"/>
        </w:rPr>
      </w:pPr>
      <w:r w:rsidRPr="002C39D9">
        <w:rPr>
          <w:b/>
          <w:bCs/>
          <w:color w:val="000000"/>
        </w:rPr>
        <w:t>4. Порядок подачи заявок и документов, и требования, предъявляемые к форме и содержанию заявок и документов.</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 Агентство осуществляет прием и регистрацию заявок в порядке поступления с присвоением порядкового номера в журнале регистрации заявок на участие в конкурсном отборе на предоставление гранта в форме субсидии из бюджета Пермского края (далее – журнал), который должен быть пронумерован, прошнурован и скреплен печатью Агентства. Запись в журнале должна содержать регистрационный номер поступившей заявки, дату и время (часы и минуты) их приема, сведения о лице, представившем заявку. Регистрация заявок производится в день их поступления в Агентство. Подтверждением приема заявки является подпись ответственного лица Агентства, принявшего заявку, с указанием даты и времени приема заявки на втором экземпляре заявки, которая возвращается участнику конкурсного отбора.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 Участник конкурсного отбора вправе представить в рамках конкурсного отбора только одну заявку.</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Грант может быть предоставлен субъекту малого и среднего предпринимательства не чаще одного раза в три года с момента заключения соглашения о предоставлении гранта в случае достижения установленных показателей.</w:t>
      </w:r>
    </w:p>
    <w:p w:rsidR="002C39D9" w:rsidRPr="002C39D9" w:rsidRDefault="002C39D9" w:rsidP="002C39D9">
      <w:pPr>
        <w:pStyle w:val="a3"/>
        <w:shd w:val="clear" w:color="auto" w:fill="FFFFFF"/>
        <w:spacing w:before="0" w:beforeAutospacing="0" w:after="120" w:afterAutospacing="0"/>
        <w:jc w:val="both"/>
        <w:rPr>
          <w:color w:val="000000"/>
        </w:rPr>
      </w:pPr>
      <w:r w:rsidRPr="002C39D9">
        <w:rPr>
          <w:b/>
          <w:bCs/>
          <w:color w:val="000000"/>
        </w:rPr>
        <w:t> Для участия в конкурсе субъект МСП представляет в Агентство следующие документы:</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1. Заявку на участие в конкурсном отборе на предоставление гранта в форме субсидии субъекту малого и среднего предпринимательства из бюджета Пермского края по форме согласно приложению 1 к Порядку </w:t>
      </w:r>
      <w:r w:rsidRPr="002C39D9">
        <w:rPr>
          <w:b/>
          <w:bCs/>
          <w:color w:val="000000"/>
        </w:rPr>
        <w:t>в 2</w:t>
      </w:r>
      <w:r w:rsidRPr="002C39D9">
        <w:rPr>
          <w:color w:val="000000"/>
        </w:rPr>
        <w:t> </w:t>
      </w:r>
      <w:r w:rsidRPr="002C39D9">
        <w:rPr>
          <w:b/>
          <w:bCs/>
          <w:color w:val="000000"/>
        </w:rPr>
        <w:t>экземплярах</w:t>
      </w:r>
      <w:r w:rsidRPr="002C39D9">
        <w:rPr>
          <w:color w:val="000000"/>
        </w:rPr>
        <w:t>.</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2. Проект в сфере социального предпринимательства или в сфере предпринимательской деятельности по форме согласно приложению 2 к Порядку.</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3. Расчет размера гранта в форме субсидии из бюджета Пермского края по форме согласно приложению 3 к Порядку.</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4. Справку по установленной форме,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сумму более чем 3 тыс. рублей, на дату, установленную пунктом 2.3.1.1 Порядка;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5. Заверенная участником отбора: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копия документа, подтверждающего прохождение обучения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w:t>
      </w:r>
      <w:r w:rsidRPr="002C39D9">
        <w:rPr>
          <w:b/>
          <w:bCs/>
          <w:color w:val="000000"/>
        </w:rPr>
        <w:t>для впервые признанного социального предприятия</w:t>
      </w:r>
      <w:r w:rsidRPr="002C39D9">
        <w:rPr>
          <w:color w:val="000000"/>
        </w:rPr>
        <w:t>) или по направлению осуществления деятельности в предпринимательской деятельности </w:t>
      </w:r>
      <w:r w:rsidRPr="002C39D9">
        <w:rPr>
          <w:b/>
          <w:bCs/>
          <w:color w:val="000000"/>
        </w:rPr>
        <w:t>(для молодого предпринимателя)</w:t>
      </w:r>
      <w:r w:rsidRPr="002C39D9">
        <w:rPr>
          <w:color w:val="000000"/>
        </w:rPr>
        <w:t>, проведение которой организовано Центром поддержки предпринимательства, Центром инноваций социальной сферы, акционерным обществом «Федеральная корпорация развития малого и среднего предпринимательства;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lastRenderedPageBreak/>
        <w:t>копия второй и третьей страниц паспорта гражданина Российской Федерации (документа, удостоверяющего личность гражданина Российской Федерации на территории Российской Федерации) - физического лица в возрасте до 25 лет (включительно), на дату подачи документов для получения гранта зарегистрированного в качестве индивидуального предпринимателя, или физического лица (физических лиц), входящего(-их) в состав учредителей (участников) или акционеров юридического лица в возрасте до 25 лет (включительно) на дату подачи документов для получения гранта с приложением копии учредительных документов </w:t>
      </w:r>
      <w:r w:rsidRPr="002C39D9">
        <w:rPr>
          <w:b/>
          <w:bCs/>
          <w:color w:val="000000"/>
        </w:rPr>
        <w:t>(для молодого предпринимателя);</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документ, подтверждающий наличие денежных средств в размере не менее 25% от размера расходов, предусмотренных на реализацию проекта, заверенный кредитной организацией, осуществляющий деятельность на территории Российской Федерации – выписка с расчетного счета субъекта МСП на любую дату в течение периода, равного 30 календарным дням, предшествующего дате подачи документов для получения гранта.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Заявка и документы должны быть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Копии документов должны быть заверены руководителем юридического лица (индивидуальным предпринимателем) и скреплены печатью (при наличии).</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В случае подписания документов (заверения копий документов) иным уполномоченным на это лицом к документам (копиям документов) должен быть приложен документ, подтверждающий полномочия указанного лица.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b/>
          <w:bCs/>
          <w:i/>
          <w:iCs/>
          <w:color w:val="000000"/>
          <w:u w:val="single"/>
        </w:rPr>
        <w:t>Заявка и приложенные к ней документы должны быть прошиты, пронумерованы и скреплены печатью (при наличии).</w:t>
      </w:r>
    </w:p>
    <w:p w:rsidR="002C39D9" w:rsidRPr="002C39D9" w:rsidRDefault="002C39D9" w:rsidP="002C39D9">
      <w:pPr>
        <w:pStyle w:val="a3"/>
        <w:shd w:val="clear" w:color="auto" w:fill="FFFFFF"/>
        <w:spacing w:before="0" w:beforeAutospacing="0" w:after="120" w:afterAutospacing="0"/>
        <w:jc w:val="both"/>
        <w:rPr>
          <w:color w:val="000000"/>
        </w:rPr>
      </w:pPr>
      <w:r w:rsidRPr="002C39D9">
        <w:rPr>
          <w:b/>
          <w:bCs/>
          <w:color w:val="000000"/>
        </w:rPr>
        <w:t>5. Порядок отзыва заявок, порядок возврата заявок, порядок внесения изменений в заявки.</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Участник конкурсного отбора вправе отозвать или изменить направленную ранее Заявку в любое время до окончания срока и (или) времени подачи (приема) Заявок, указанного в пункте 1.1 настоящего Объявления.</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Агентство возвращает заявку участнику конкурсного отбора по его письменному заявлению в свободной форме с соответствующей записью в журнале регистрации заявок.</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Для изменения направленной ранее Заявки участник конкурсного отбора отзывает ее в порядке, определенном пунктом 2.7 Порядка, и представляет измененную Заявку в Агентство в сроки, установленные в объявлении о конкурсном отборе. Данная Заявка будет считаться вновь поданной.</w:t>
      </w:r>
    </w:p>
    <w:p w:rsidR="002C39D9" w:rsidRPr="002C39D9" w:rsidRDefault="002C39D9" w:rsidP="002C39D9">
      <w:pPr>
        <w:pStyle w:val="a3"/>
        <w:shd w:val="clear" w:color="auto" w:fill="FFFFFF"/>
        <w:spacing w:before="0" w:beforeAutospacing="0" w:after="120" w:afterAutospacing="0"/>
        <w:jc w:val="both"/>
        <w:rPr>
          <w:color w:val="000000"/>
        </w:rPr>
      </w:pPr>
      <w:r w:rsidRPr="002C39D9">
        <w:rPr>
          <w:b/>
          <w:bCs/>
          <w:color w:val="000000"/>
        </w:rPr>
        <w:t>6. Правила рассмотрения заявки и документов.</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         6.1. Рассмотрение заявок и документов на предмет их комплектности и соответствия требованиям, установленным пунктом 2.5 Порядка, проверка участников конкурсного отбора на соответствие требованиям, установленным пунктами 2.3.1 – 2.3.14 Порядка (пункта 3 настоящего Объявления), осуществляются Агентством в течение 3 рабочих дней со дня регистрации заявки в журнале.</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По результатам рассмотрения заявок и документов Агентство в течение 3 рабочих дней со дня окончания срока рассмотрения заявок и документов составляет протокол, содержащий информацию о субъектах МСП, соответствующих требованиям и условиям Порядка, и информацию о субъектах МСП, заявки и документы которых отклонены.</w:t>
      </w:r>
    </w:p>
    <w:p w:rsidR="002C39D9" w:rsidRPr="002C39D9" w:rsidRDefault="002C39D9" w:rsidP="00063823">
      <w:pPr>
        <w:pStyle w:val="a3"/>
        <w:shd w:val="clear" w:color="auto" w:fill="FFFFFF"/>
        <w:spacing w:before="0" w:beforeAutospacing="0" w:after="120" w:afterAutospacing="0"/>
        <w:jc w:val="both"/>
        <w:rPr>
          <w:color w:val="000000"/>
        </w:rPr>
      </w:pPr>
      <w:r w:rsidRPr="002C39D9">
        <w:rPr>
          <w:color w:val="000000"/>
        </w:rPr>
        <w:t>Участник конкурсного отбора вправе устранить выявленные несоответствия и повторно направить в Агентство заявку не позднее</w:t>
      </w:r>
      <w:r w:rsidR="00063823">
        <w:rPr>
          <w:color w:val="000000"/>
        </w:rPr>
        <w:t xml:space="preserve"> </w:t>
      </w:r>
      <w:r w:rsidRPr="002C39D9">
        <w:rPr>
          <w:color w:val="000000"/>
        </w:rPr>
        <w:t>18 октября 2023 г 15:00 ч.</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lastRenderedPageBreak/>
        <w:t xml:space="preserve">Направленная повторно заявка регистрируется в журнале и рассматривается Агентством в установленном порядке. В случае если участник конкурсного отбора устранил выявленные несоответствия, заявке присваивается новый порядковый номер в журнале, предыдущий номер, присвоенный заявке, аннулируется. В случае </w:t>
      </w:r>
      <w:proofErr w:type="spellStart"/>
      <w:r w:rsidRPr="002C39D9">
        <w:rPr>
          <w:color w:val="000000"/>
        </w:rPr>
        <w:t>неустранения</w:t>
      </w:r>
      <w:proofErr w:type="spellEnd"/>
      <w:r w:rsidRPr="002C39D9">
        <w:rPr>
          <w:color w:val="000000"/>
        </w:rPr>
        <w:t xml:space="preserve"> выявленных несоответствий участник конкурсного отбора считается не допущенным к конкурсному отбору.</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После окончания дня и времени приема Заявок для участия в конкурсном отборе, указанных в пункте 1 настоящего Объявления, Заявка и документы возврату не подлежат.</w:t>
      </w:r>
    </w:p>
    <w:p w:rsidR="002C39D9" w:rsidRPr="002C39D9" w:rsidRDefault="002C39D9" w:rsidP="002C39D9">
      <w:pPr>
        <w:pStyle w:val="a3"/>
        <w:shd w:val="clear" w:color="auto" w:fill="FFFFFF"/>
        <w:spacing w:before="0" w:beforeAutospacing="0" w:after="120" w:afterAutospacing="0"/>
        <w:jc w:val="both"/>
        <w:rPr>
          <w:color w:val="000000"/>
        </w:rPr>
      </w:pPr>
      <w:r w:rsidRPr="002C39D9">
        <w:rPr>
          <w:b/>
          <w:bCs/>
          <w:color w:val="000000"/>
        </w:rPr>
        <w:t>         </w:t>
      </w:r>
      <w:r w:rsidRPr="002C39D9">
        <w:rPr>
          <w:color w:val="000000"/>
        </w:rPr>
        <w:t>6.2. Основания для отклонения заявки на стадии рассмотрения:</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несоответствие участника конкурсного отбора требованиям, установленным пунктом 3 настоящего Объявления (пунктами 2.3.1 – 2.3.14 Порядка);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несоответствие предъявленных участником конкурсного отбора расходов, связанных с реализацией проекта, расходам, установленным пунктом 3.4 Порядка;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несоответствие представленных участником конкурсного отбора заявки и документов требованиям к заявке и документам, установленным в настоящем объявлении;</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недостоверность представленной участником конкурсного отбора информации, в том числе информации о месте нахождения и адресе юридического лица;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заявка и документы не соответствуют требованиям пункта 4 настоящего Объявления (пункту 2.5 Порядка);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подача участником конкурсного отбора заявки и документов позднее дня и (или) времени окончания приема заявок и документов для участия в конкурсном отборе, указанных в настоящем объявлении.</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 Агентство в течение 7 рабочих дней после дня окончания приема заявок и документов направляет протокол (</w:t>
      </w:r>
      <w:proofErr w:type="spellStart"/>
      <w:r w:rsidRPr="002C39D9">
        <w:rPr>
          <w:color w:val="000000"/>
        </w:rPr>
        <w:t>ы</w:t>
      </w:r>
      <w:proofErr w:type="spellEnd"/>
      <w:r w:rsidRPr="002C39D9">
        <w:rPr>
          <w:color w:val="000000"/>
        </w:rPr>
        <w:t>), указанный(</w:t>
      </w:r>
      <w:proofErr w:type="spellStart"/>
      <w:r w:rsidRPr="002C39D9">
        <w:rPr>
          <w:color w:val="000000"/>
        </w:rPr>
        <w:t>ые</w:t>
      </w:r>
      <w:proofErr w:type="spellEnd"/>
      <w:r w:rsidRPr="002C39D9">
        <w:rPr>
          <w:color w:val="000000"/>
        </w:rPr>
        <w:t>) в пункте 2.10 Порядка и проекты в бумажном виде и (или) по электронной почте в Комиссию по отбору.</w:t>
      </w:r>
    </w:p>
    <w:p w:rsidR="002C39D9" w:rsidRPr="002C39D9" w:rsidRDefault="002C39D9" w:rsidP="002C39D9">
      <w:pPr>
        <w:pStyle w:val="a3"/>
        <w:shd w:val="clear" w:color="auto" w:fill="FFFFFF"/>
        <w:spacing w:before="0" w:beforeAutospacing="0" w:after="120" w:afterAutospacing="0"/>
        <w:jc w:val="both"/>
        <w:rPr>
          <w:color w:val="000000"/>
        </w:rPr>
      </w:pPr>
      <w:r w:rsidRPr="002C39D9">
        <w:rPr>
          <w:b/>
          <w:bCs/>
          <w:color w:val="000000"/>
        </w:rPr>
        <w:t>7. Правила оценки проектов участников конкурсного отбора.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Для оценки проектов создается Комиссия по отбору проектов, положение и состав которой утверждаются приказом Агентства в срок не позднее дня окончания приема заявок для участия в конкурсном отборе.</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Комиссия по отбору в течение 10 рабочих дней после окончания срока, указанного в пункте 2.12 Порядка (пункт 6 настоящего Объявления), рассматривает заявки и оценивает проекты исходя из наилучших условий достижения результатов предоставления гранта.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 xml:space="preserve">Формой работы Комиссии по отбору являются заседания, которые проводятся в очном режиме и (или) в режиме </w:t>
      </w:r>
      <w:proofErr w:type="spellStart"/>
      <w:r w:rsidRPr="002C39D9">
        <w:rPr>
          <w:color w:val="000000"/>
        </w:rPr>
        <w:t>видео-конференц-связи</w:t>
      </w:r>
      <w:proofErr w:type="spellEnd"/>
      <w:r w:rsidRPr="002C39D9">
        <w:rPr>
          <w:color w:val="000000"/>
        </w:rPr>
        <w:t xml:space="preserve">, с участием (лично или в режиме </w:t>
      </w:r>
      <w:proofErr w:type="spellStart"/>
      <w:r w:rsidRPr="002C39D9">
        <w:rPr>
          <w:color w:val="000000"/>
        </w:rPr>
        <w:t>видео-конференц-связи</w:t>
      </w:r>
      <w:proofErr w:type="spellEnd"/>
      <w:r w:rsidRPr="002C39D9">
        <w:rPr>
          <w:color w:val="000000"/>
        </w:rPr>
        <w:t>) участника конкурсного отбора либо иного уполномоченного им лица по доверенности.</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 xml:space="preserve">В случае неявки участника конкурсного отбора (или уполномоченного им лица) на заседание Комиссии по отбору или невозможности, в том числе технической, участвовать в </w:t>
      </w:r>
      <w:proofErr w:type="spellStart"/>
      <w:r w:rsidRPr="002C39D9">
        <w:rPr>
          <w:color w:val="000000"/>
        </w:rPr>
        <w:t>видео-конференц-связи</w:t>
      </w:r>
      <w:proofErr w:type="spellEnd"/>
      <w:r w:rsidRPr="002C39D9">
        <w:rPr>
          <w:color w:val="000000"/>
        </w:rPr>
        <w:t>, представленная заявка рассматривается и оценивается без его участия.</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Комиссия по отбору:</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заслушивает участников отбора, рассматривает заявки и оценивает каждый проект;</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формирует рейтинг проектов, представленных участниками конкурсного отбора;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lastRenderedPageBreak/>
        <w:t>определяет пороговое значение балла, при котором проект участника отбора подлежит включению в перечень проектов субъектов МСП, рекомендованных Агентству для включения в перечень победителей конкурсного отбора, с учетом положений пункта 1.4 Порядка;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определяет размер гранта пропорционально размеру расходов участника конкурсного отбора.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Каждый член Комиссии по отбору рассматривает и оценивает каждый проект с присвоением баллов по критериям оценки проектов согласно приложению 6 к Порядку.</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Количество баллов, присваиваемых каждому критерию оценки, определяется как среднее арифметическое оценок (в баллах) всех членов Комиссии по отбору.</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Итоговая оценка проекта формируется в сводный оценочный лист проектов субъектов малого и среднего предпринимательства, представленных для получения грантов в форме субсидий социальным предприятиям или субъектам малого и среднего предпринимательства, созданным физическими лицами в возрасте до 25 лет включительно из бюджета Пермского края, путем их ранжирования от наибольшего значения суммы набранных баллов к наименьшему (далее – Сводный оценочный лист).</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После формирования Сводного оценочного листа Комиссией по отбору определяется пороговое значение балла, исходя из последовательного суммирования указанных в нем размеров грантов, начиная с проекта, которому присвоен первый порядковый номер, полученного суммированием значения, равного или большего по отношению к значению объема бюджетных ассигнований. При этом, если в результате суммирования сумма размеров грантов достигла значения, превышающего значение объема бюджетных ассигнований, пороговый балл определяется в размере итогового балла, присвоенного проекту, которому присвоен предыдущий порядковый номер.</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При равенстве суммы средних баллов, присвоенных проектам, право на приоритетное предоставление субсидии предоставляется участнику отбора, заявка которого поступила раньше.</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Комиссия по отбору не позднее срока, установленного настоящим пунктом принимает решение по включению проектов в перечень проектов субъектов МСП, рекомендованных Агентству для включения в перечень победителей конкурсного отбора, исходя из наилучших условий достижения результатов предоставления гранта по итогам рассмотрения и оценки проектов.</w:t>
      </w:r>
    </w:p>
    <w:p w:rsidR="002C39D9" w:rsidRPr="002C39D9" w:rsidRDefault="002C39D9" w:rsidP="002C39D9">
      <w:pPr>
        <w:pStyle w:val="a3"/>
        <w:shd w:val="clear" w:color="auto" w:fill="FFFFFF"/>
        <w:spacing w:before="0" w:beforeAutospacing="0" w:after="120" w:afterAutospacing="0"/>
        <w:jc w:val="both"/>
        <w:rPr>
          <w:color w:val="000000"/>
        </w:rPr>
      </w:pPr>
      <w:r w:rsidRPr="002C39D9">
        <w:rPr>
          <w:b/>
          <w:bCs/>
          <w:color w:val="000000"/>
        </w:rPr>
        <w:t>8. Порядок предоставления участникам конкурсного отбора разъяснений положений объявления о конкурсном отборе, даты начала и окончания срока такого предоставления.</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Участник конкурсного отбора вправе обратиться в Агентство за разъяснениями положений настоящего объявления. Разъяснения предоставляются в письменной и (или) устной форме по телефону и (или) при личном приеме.</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Письменное обращение участника конкурсного отбора направляется в Агентство, начиная с даты размещения настоящего объявления в информационно-телекоммуникационной сети «Интернет» на официальном сайте Агентства и не позднее чем за 5 рабочих дней до окончания срока подачи заявок.</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Агентство в течение 3 рабочих дней с даты поступления письменного обращения дает разъяснения по положениям, предусмотренным в настоящем объявлении, путем направления участнику конкурсного отбора письменного ответа.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b/>
          <w:bCs/>
          <w:color w:val="000000"/>
        </w:rPr>
        <w:t>9. Срок, в течение которого победители конкурсного отбора должны подписать соглашение о предоставлении гранта</w:t>
      </w:r>
      <w:r w:rsidRPr="002C39D9">
        <w:rPr>
          <w:color w:val="000000"/>
        </w:rPr>
        <w:t>.</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lastRenderedPageBreak/>
        <w:t> Грант предоставляется на основании Соглашения о предоставлении гранта, заключенного между победителем конкурсного отбора (далее – получатель гранта) и Агентством в государственной интегрированной информационной системе управления общественными финансами «Электронный бюджет» (далее – Система), в соответствии с типовой формой, установленной Министерством финансов Российской Федерации.</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Агентство в течении 12 рабочих дней со дня, следующего за днем издания Приказа о победителях, осуществляет подготовку проекта Соглашения в Системе и уведомляет об этом получателя гранта путем направления письменного уведомления на адрес электронной почты, указанный получателем гранта в заявке.</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Получатели гранта в течение 3 рабочих дней со дня получения уведомления подписывают Соглашение в Системе усиленной квалифицированной электронной цифровой подписью.</w:t>
      </w:r>
    </w:p>
    <w:p w:rsidR="002C39D9" w:rsidRPr="002C39D9" w:rsidRDefault="002C39D9" w:rsidP="002C39D9">
      <w:pPr>
        <w:pStyle w:val="a3"/>
        <w:shd w:val="clear" w:color="auto" w:fill="FFFFFF"/>
        <w:spacing w:before="0" w:beforeAutospacing="0" w:after="120" w:afterAutospacing="0"/>
        <w:jc w:val="both"/>
        <w:rPr>
          <w:color w:val="000000"/>
        </w:rPr>
      </w:pPr>
      <w:r w:rsidRPr="002C39D9">
        <w:rPr>
          <w:b/>
          <w:bCs/>
          <w:color w:val="000000"/>
        </w:rPr>
        <w:t>10. Условия признания победителя конкурсного отбора уклонившимся от заключения Соглашения.</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В случае если победитель конкурсного отбора не подписал Соглашение в течение 3 рабочих дней с даты его получения, он считается уклонившимся от подписания Соглашения и теряет право на получение гранта.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b/>
          <w:bCs/>
          <w:color w:val="000000"/>
        </w:rPr>
        <w:t>11. Дата размещения результатов конкурсного отбора.</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Агентство публикует в информационно-телекоммуникационной сети «Интернет» на едином портале, на официальном сайте Агентства, на официальном сайте информационной поддержки субъектов МСП по адресу: </w:t>
      </w:r>
      <w:hyperlink r:id="rId6" w:history="1">
        <w:r w:rsidRPr="002C39D9">
          <w:rPr>
            <w:rStyle w:val="a4"/>
            <w:color w:val="3B4256"/>
            <w:u w:val="none"/>
          </w:rPr>
          <w:t>www.msppk.ru</w:t>
        </w:r>
      </w:hyperlink>
      <w:r w:rsidRPr="002C39D9">
        <w:rPr>
          <w:color w:val="000000"/>
        </w:rPr>
        <w:t>:</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 протокол Комиссии по отбору в течение 3 рабочих дней со дня его оформления;</w:t>
      </w:r>
    </w:p>
    <w:p w:rsidR="002C39D9" w:rsidRPr="002C39D9" w:rsidRDefault="002C39D9" w:rsidP="002C39D9">
      <w:pPr>
        <w:pStyle w:val="a3"/>
        <w:shd w:val="clear" w:color="auto" w:fill="FFFFFF"/>
        <w:spacing w:before="0" w:beforeAutospacing="0" w:after="120" w:afterAutospacing="0"/>
        <w:jc w:val="both"/>
        <w:rPr>
          <w:color w:val="000000"/>
        </w:rPr>
      </w:pPr>
      <w:r w:rsidRPr="002C39D9">
        <w:rPr>
          <w:color w:val="000000"/>
        </w:rPr>
        <w:t>- Приказ о победителях в срок не позднее 5 рабочих дней со дня оформления протокола Комиссии по отбору.</w:t>
      </w:r>
    </w:p>
    <w:p w:rsidR="00B620E2" w:rsidRPr="002C39D9" w:rsidRDefault="00B620E2" w:rsidP="002C39D9">
      <w:pPr>
        <w:spacing w:after="120" w:line="240" w:lineRule="auto"/>
        <w:rPr>
          <w:rFonts w:ascii="Times New Roman" w:hAnsi="Times New Roman" w:cs="Times New Roman"/>
          <w:sz w:val="24"/>
          <w:szCs w:val="24"/>
        </w:rPr>
      </w:pPr>
    </w:p>
    <w:sectPr w:rsidR="00B620E2" w:rsidRPr="002C39D9" w:rsidSect="00B620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A2516"/>
    <w:multiLevelType w:val="multilevel"/>
    <w:tmpl w:val="5AD4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defaultTabStop w:val="708"/>
  <w:characterSpacingControl w:val="doNotCompress"/>
  <w:compat/>
  <w:rsids>
    <w:rsidRoot w:val="002C39D9"/>
    <w:rsid w:val="00063823"/>
    <w:rsid w:val="001A4209"/>
    <w:rsid w:val="0020031D"/>
    <w:rsid w:val="002C39D9"/>
    <w:rsid w:val="00343703"/>
    <w:rsid w:val="00545AB6"/>
    <w:rsid w:val="006353D7"/>
    <w:rsid w:val="008A53BE"/>
    <w:rsid w:val="00904FA8"/>
    <w:rsid w:val="00A904A4"/>
    <w:rsid w:val="00B620E2"/>
    <w:rsid w:val="00D57410"/>
    <w:rsid w:val="00EB27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0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39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C39D9"/>
    <w:rPr>
      <w:color w:val="0000FF"/>
      <w:u w:val="single"/>
    </w:rPr>
  </w:style>
</w:styles>
</file>

<file path=word/webSettings.xml><?xml version="1.0" encoding="utf-8"?>
<w:webSettings xmlns:r="http://schemas.openxmlformats.org/officeDocument/2006/relationships" xmlns:w="http://schemas.openxmlformats.org/wordprocessingml/2006/main">
  <w:divs>
    <w:div w:id="3637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ppk.ru/" TargetMode="External"/><Relationship Id="rId5" Type="http://schemas.openxmlformats.org/officeDocument/2006/relationships/hyperlink" Target="consultantplus://offline/ref=A12312E7DBC57C7F6704032B1FBAB953361D6C0B7AE4364D6673AF2DEC294D0ABE2DC3F92670E7F61798CD6FFE51DE428563AFD17FA5FB7317D477BDi4y8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3185</Words>
  <Characters>18158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Пользлватель</dc:creator>
  <cp:keywords/>
  <dc:description/>
  <cp:lastModifiedBy>Пользлватель</cp:lastModifiedBy>
  <cp:revision>3</cp:revision>
  <dcterms:created xsi:type="dcterms:W3CDTF">2023-09-08T04:55:00Z</dcterms:created>
  <dcterms:modified xsi:type="dcterms:W3CDTF">2023-09-08T05:16:00Z</dcterms:modified>
</cp:coreProperties>
</file>