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F4" w:rsidRDefault="00327BF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27BF4" w:rsidRDefault="00327BF4">
      <w:pPr>
        <w:pStyle w:val="ConsPlusNormal"/>
        <w:ind w:firstLine="540"/>
        <w:jc w:val="both"/>
        <w:outlineLvl w:val="0"/>
      </w:pPr>
    </w:p>
    <w:p w:rsidR="00327BF4" w:rsidRDefault="00327BF4">
      <w:pPr>
        <w:pStyle w:val="ConsPlusTitle"/>
        <w:jc w:val="center"/>
      </w:pPr>
      <w:r>
        <w:t>ФЕДЕРАЛЬНАЯ АНТИМОНОПОЛЬНАЯ СЛУЖБА</w:t>
      </w:r>
    </w:p>
    <w:p w:rsidR="00327BF4" w:rsidRDefault="00327BF4">
      <w:pPr>
        <w:pStyle w:val="ConsPlusTitle"/>
        <w:jc w:val="center"/>
      </w:pPr>
    </w:p>
    <w:p w:rsidR="00327BF4" w:rsidRDefault="00327BF4">
      <w:pPr>
        <w:pStyle w:val="ConsPlusTitle"/>
        <w:jc w:val="center"/>
      </w:pPr>
      <w:r>
        <w:t>ПИСЬМО</w:t>
      </w:r>
    </w:p>
    <w:p w:rsidR="00327BF4" w:rsidRDefault="00327BF4">
      <w:pPr>
        <w:pStyle w:val="ConsPlusTitle"/>
        <w:jc w:val="center"/>
      </w:pPr>
      <w:r>
        <w:t>от 16 сентября 2015 г. N ЦА/49542/15</w:t>
      </w:r>
    </w:p>
    <w:p w:rsidR="00327BF4" w:rsidRDefault="00327BF4">
      <w:pPr>
        <w:pStyle w:val="ConsPlusTitle"/>
        <w:jc w:val="center"/>
      </w:pPr>
    </w:p>
    <w:p w:rsidR="00327BF4" w:rsidRDefault="00327BF4">
      <w:pPr>
        <w:pStyle w:val="ConsPlusTitle"/>
        <w:jc w:val="center"/>
      </w:pPr>
      <w:r>
        <w:t>О НОВОЙ РЕДАКЦИИ СТАНДАРТА</w:t>
      </w:r>
    </w:p>
    <w:p w:rsidR="00327BF4" w:rsidRDefault="00327BF4">
      <w:pPr>
        <w:pStyle w:val="ConsPlusTitle"/>
        <w:jc w:val="center"/>
      </w:pPr>
      <w:r>
        <w:t>РАЗВИТИЯ КОНКУРЕНЦИИ, УТВЕРЖДЕННОЙ РАСПОРЯЖЕНИЕМ</w:t>
      </w:r>
    </w:p>
    <w:p w:rsidR="00327BF4" w:rsidRDefault="00327BF4">
      <w:pPr>
        <w:pStyle w:val="ConsPlusTitle"/>
        <w:jc w:val="center"/>
      </w:pPr>
      <w:r>
        <w:t>ПРАВИТЕЛЬСТВА РОССИЙСКОЙ ФЕДЕРАЦИИ ОТ 05.09.2015 N 1738-Р</w:t>
      </w:r>
    </w:p>
    <w:p w:rsidR="00327BF4" w:rsidRDefault="00327BF4">
      <w:pPr>
        <w:pStyle w:val="ConsPlusNormal"/>
        <w:jc w:val="center"/>
      </w:pPr>
    </w:p>
    <w:p w:rsidR="00327BF4" w:rsidRDefault="00327BF4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05.09.2015 N 1738-р утверждена новая редакция </w:t>
      </w:r>
      <w:hyperlink r:id="rId7" w:history="1">
        <w:r>
          <w:rPr>
            <w:color w:val="0000FF"/>
          </w:rPr>
          <w:t>Стандарта</w:t>
        </w:r>
      </w:hyperlink>
      <w:r>
        <w:t xml:space="preserve"> развития конкуренции в Российской Федерации (далее - стандарт).</w:t>
      </w:r>
    </w:p>
    <w:p w:rsidR="00327BF4" w:rsidRDefault="00327BF4">
      <w:pPr>
        <w:pStyle w:val="ConsPlusNormal"/>
        <w:ind w:firstLine="540"/>
        <w:jc w:val="both"/>
      </w:pPr>
      <w:r>
        <w:t xml:space="preserve">Основные отличия новой редакции </w:t>
      </w:r>
      <w:hyperlink r:id="rId8" w:history="1">
        <w:r>
          <w:rPr>
            <w:color w:val="0000FF"/>
          </w:rPr>
          <w:t>стандарта</w:t>
        </w:r>
      </w:hyperlink>
      <w:r>
        <w:t xml:space="preserve"> </w:t>
      </w:r>
      <w:proofErr w:type="gramStart"/>
      <w:r>
        <w:t>от</w:t>
      </w:r>
      <w:proofErr w:type="gramEnd"/>
      <w:r>
        <w:t xml:space="preserve"> старой в следующем.</w:t>
      </w:r>
    </w:p>
    <w:p w:rsidR="00327BF4" w:rsidRDefault="00327BF4">
      <w:pPr>
        <w:pStyle w:val="ConsPlusNormal"/>
        <w:ind w:firstLine="540"/>
        <w:jc w:val="both"/>
      </w:pPr>
      <w:r>
        <w:t>1. Структурные изменения документа заключаются в замене "требований" стандарта на разделы.</w:t>
      </w:r>
    </w:p>
    <w:p w:rsidR="00327BF4" w:rsidRDefault="00327BF4">
      <w:pPr>
        <w:pStyle w:val="ConsPlusNormal"/>
        <w:ind w:firstLine="540"/>
        <w:jc w:val="both"/>
      </w:pPr>
      <w:r>
        <w:t xml:space="preserve">2. Новый </w:t>
      </w:r>
      <w:hyperlink r:id="rId9" w:history="1">
        <w:r>
          <w:rPr>
            <w:color w:val="0000FF"/>
          </w:rPr>
          <w:t>стандарт</w:t>
        </w:r>
      </w:hyperlink>
      <w:r>
        <w:t xml:space="preserve"> усиливает акцент на региональной специфике субъекта Российской Федерации. Так, согласно </w:t>
      </w:r>
      <w:hyperlink r:id="rId10" w:history="1">
        <w:r>
          <w:rPr>
            <w:color w:val="0000FF"/>
          </w:rPr>
          <w:t>подпункту "а" пункта 2 раздела I</w:t>
        </w:r>
      </w:hyperlink>
      <w:r>
        <w:t xml:space="preserve"> стандарта он </w:t>
      </w:r>
      <w:proofErr w:type="gramStart"/>
      <w:r>
        <w:t>разработан</w:t>
      </w:r>
      <w:proofErr w:type="gramEnd"/>
      <w:r>
        <w:t xml:space="preserve"> в том числе в следующих целях: "установление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экономики".</w:t>
      </w:r>
    </w:p>
    <w:p w:rsidR="00327BF4" w:rsidRDefault="00327BF4">
      <w:pPr>
        <w:pStyle w:val="ConsPlusNormal"/>
        <w:ind w:firstLine="540"/>
        <w:jc w:val="both"/>
      </w:pPr>
      <w:r>
        <w:t xml:space="preserve">Обращаем внимание, что положение старой редакции стандарта о числовых значениях целевых показателей в отношении рынков, включенных в перечень, оставлено без изменений. Согласно </w:t>
      </w:r>
      <w:hyperlink r:id="rId11" w:history="1">
        <w:r>
          <w:rPr>
            <w:color w:val="0000FF"/>
          </w:rPr>
          <w:t>пункту 22 раздела IV</w:t>
        </w:r>
      </w:hyperlink>
      <w:r>
        <w:t xml:space="preserve"> стандарта "При формировании перечня социально значимых рынков в первую очередь в него включается обязательный перечень рынков, предусмотренных </w:t>
      </w:r>
      <w:hyperlink r:id="rId12" w:history="1">
        <w:r>
          <w:rPr>
            <w:color w:val="0000FF"/>
          </w:rPr>
          <w:t>приложением</w:t>
        </w:r>
      </w:hyperlink>
      <w:r>
        <w:t xml:space="preserve"> к стандарту, в отношении которых целесообразно придерживаться установленных числовых значений целевых показателей либо устанавливать числовые значения целевых показателей с учетом региональной специфики".</w:t>
      </w:r>
    </w:p>
    <w:p w:rsidR="00327BF4" w:rsidRDefault="00327BF4">
      <w:pPr>
        <w:pStyle w:val="ConsPlusNormal"/>
        <w:ind w:firstLine="540"/>
        <w:jc w:val="both"/>
      </w:pPr>
      <w:r>
        <w:t xml:space="preserve">3. Старая редакция стандарта предусматривала участие органов местного самоуправления в реализации отдельных требований стандарта. Так, согласно абзацу 6 пункта 3 требования 4 органы исполнительной власти субъектов Российской Федерации в том числе "определяют принципы и порядок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 при реализации "дорожной карты".</w:t>
      </w:r>
    </w:p>
    <w:p w:rsidR="00327BF4" w:rsidRDefault="00327B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BF4" w:rsidRDefault="00327BF4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27BF4" w:rsidRDefault="00327BF4">
      <w:pPr>
        <w:pStyle w:val="ConsPlusNormal"/>
        <w:ind w:firstLine="540"/>
        <w:jc w:val="both"/>
      </w:pPr>
      <w:r>
        <w:rPr>
          <w:color w:val="0A2666"/>
        </w:rPr>
        <w:t>В тексте нижеследующего абзаца, видимо, допущена опечатка: распоряжение от 10.02.2015 имеет N 190-р, а не 570-р.</w:t>
      </w:r>
    </w:p>
    <w:p w:rsidR="00327BF4" w:rsidRDefault="00327B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BF4" w:rsidRDefault="00327BF4">
      <w:pPr>
        <w:pStyle w:val="ConsPlusNormal"/>
        <w:ind w:firstLine="540"/>
        <w:jc w:val="both"/>
      </w:pPr>
      <w:r>
        <w:t xml:space="preserve">Вместе с тем участие органов местного самоуправления в содействии внедрению стандарта, предусмотренное в новой редакции стандарта, </w:t>
      </w:r>
      <w:proofErr w:type="gramStart"/>
      <w:r>
        <w:t>значительно расширено</w:t>
      </w:r>
      <w:proofErr w:type="gramEnd"/>
      <w:r>
        <w:t xml:space="preserve">. Так, </w:t>
      </w:r>
      <w:hyperlink r:id="rId13" w:history="1">
        <w:r>
          <w:rPr>
            <w:color w:val="0000FF"/>
          </w:rPr>
          <w:t>стандартом</w:t>
        </w:r>
      </w:hyperlink>
      <w:r>
        <w:t xml:space="preserve"> (а также </w:t>
      </w:r>
      <w:hyperlink r:id="rId14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10.04.2014 N 570-р в редакции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от 10.02.2015 N 570-р) предусмотрено заключение соглашения (меморандума) между органами исполнительной власти субъекта Российской Федерации и органами местного самоуправления о внедрении в субъекте Российской Федерации стандарта. В рамках соглашения органы местного самоуправления оказывают содействие органам исполнительной власти субъекта Российской Федерации при внедрении ими стандарта в субъекте Российской Федерации (</w:t>
      </w:r>
      <w:hyperlink r:id="rId16" w:history="1">
        <w:r>
          <w:rPr>
            <w:color w:val="0000FF"/>
          </w:rPr>
          <w:t>пункт 4 раздела I</w:t>
        </w:r>
      </w:hyperlink>
      <w:r>
        <w:t xml:space="preserve"> стандарта). Участие органов местного самоуправления предусмотрено во всех основных мероприятиях внедрения стандарта.</w:t>
      </w:r>
    </w:p>
    <w:p w:rsidR="00327BF4" w:rsidRDefault="00327BF4">
      <w:pPr>
        <w:pStyle w:val="ConsPlusNormal"/>
        <w:ind w:firstLine="540"/>
        <w:jc w:val="both"/>
      </w:pPr>
      <w:r>
        <w:t>4. Значительно расширен перечень лиц, включаемых в коллегиальный орган, осуществляющий рассмотрение вопросов содействия развитию конкуренции в субъекте Российской Федерации (</w:t>
      </w:r>
      <w:hyperlink r:id="rId17" w:history="1">
        <w:r>
          <w:rPr>
            <w:color w:val="0000FF"/>
          </w:rPr>
          <w:t>раздел III</w:t>
        </w:r>
      </w:hyperlink>
      <w:r>
        <w:t xml:space="preserve"> стандарта). Кроме того, если согласно старой редакции </w:t>
      </w:r>
      <w:r>
        <w:lastRenderedPageBreak/>
        <w:t xml:space="preserve">стандарта представители территориального органа ФАС России принимали участие в заседаниях Коллегиального </w:t>
      </w:r>
      <w:proofErr w:type="gramStart"/>
      <w:r>
        <w:t>органа</w:t>
      </w:r>
      <w:proofErr w:type="gramEnd"/>
      <w:r>
        <w:t xml:space="preserve"> только в качестве приглашенных (пункт 4 требования 2 старой редакции стандарта), то в соответствии с новой его редакцией представители территориальных органов федеральных органов исполнительной власти, в том числе Федеральной антимонопольной службы, могут являться членами отдельных специализированных групп по направлениям, а также принимают участие в заседаниях коллегиального </w:t>
      </w:r>
      <w:proofErr w:type="gramStart"/>
      <w:r>
        <w:t>органа</w:t>
      </w:r>
      <w:proofErr w:type="gramEnd"/>
      <w:r>
        <w:t xml:space="preserve"> в качестве приглашенных (</w:t>
      </w:r>
      <w:hyperlink r:id="rId18" w:history="1">
        <w:r>
          <w:rPr>
            <w:color w:val="0000FF"/>
          </w:rPr>
          <w:t>пункт 14 раздела III</w:t>
        </w:r>
      </w:hyperlink>
      <w:r>
        <w:t xml:space="preserve"> стандарта).</w:t>
      </w:r>
    </w:p>
    <w:p w:rsidR="00327BF4" w:rsidRDefault="00327BF4">
      <w:pPr>
        <w:pStyle w:val="ConsPlusNormal"/>
        <w:ind w:firstLine="540"/>
        <w:jc w:val="both"/>
      </w:pPr>
      <w:r>
        <w:t>5. Расширен перечень рынков обязательных для включения в перечень социально значимых рынков субъекта Российской Федерации, определенных приложением к стандарту "Перечень мероприятий по содействию развитию конкуренции и по развитию конкурентной среды субъекта Российской Федерации".</w:t>
      </w:r>
    </w:p>
    <w:p w:rsidR="00327BF4" w:rsidRDefault="00327BF4">
      <w:pPr>
        <w:pStyle w:val="ConsPlusNormal"/>
        <w:ind w:firstLine="540"/>
        <w:jc w:val="both"/>
      </w:pPr>
      <w:r>
        <w:t xml:space="preserve">В старой редакции в приложении к стандарту содержалось 6 рынков и 3 системных мероприятия; в </w:t>
      </w:r>
      <w:hyperlink r:id="rId19" w:history="1">
        <w:r>
          <w:rPr>
            <w:color w:val="0000FF"/>
          </w:rPr>
          <w:t>новой редакции</w:t>
        </w:r>
      </w:hyperlink>
      <w:r>
        <w:t xml:space="preserve"> - 11 рынков и 6 системных мероприятий. В этой связи, в тех субъектах Российской Федерации, в которых утвержден перечень социально значимых и приоритетных рынков, в указанный документ органу исполнительной власти субъекта Российской Федерации необходимо внести соответствующие изменения.</w:t>
      </w:r>
    </w:p>
    <w:p w:rsidR="00327BF4" w:rsidRDefault="00327BF4">
      <w:pPr>
        <w:pStyle w:val="ConsPlusNormal"/>
        <w:ind w:firstLine="540"/>
        <w:jc w:val="both"/>
      </w:pPr>
    </w:p>
    <w:p w:rsidR="00327BF4" w:rsidRDefault="00327BF4">
      <w:pPr>
        <w:pStyle w:val="ConsPlusNormal"/>
        <w:jc w:val="both"/>
        <w:outlineLvl w:val="0"/>
      </w:pPr>
      <w:r>
        <w:t>Перечни рынков обязательных для включения в перечень социально значимых рынков субъекта Российской Федерации, определенных приложениями к новой и старой редакции стандарта</w:t>
      </w:r>
    </w:p>
    <w:p w:rsidR="00327BF4" w:rsidRDefault="00327BF4">
      <w:pPr>
        <w:sectPr w:rsidR="00327BF4" w:rsidSect="005C03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7BF4" w:rsidRDefault="00327BF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9"/>
        <w:gridCol w:w="4840"/>
      </w:tblGrid>
      <w:tr w:rsidR="00327BF4"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center"/>
            </w:pPr>
            <w:r>
              <w:t>Перечень рынков новой редакции приложения к стандарту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center"/>
            </w:pPr>
            <w:r>
              <w:t>Перечень рынков старой редакции приложения к стандарту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single" w:sz="4" w:space="0" w:color="auto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1. Рынок услуг дошкольного образования</w:t>
            </w:r>
          </w:p>
        </w:tc>
        <w:tc>
          <w:tcPr>
            <w:tcW w:w="4840" w:type="dxa"/>
            <w:tcBorders>
              <w:top w:val="single" w:sz="4" w:space="0" w:color="auto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1. Рынок услуг дошкольного образования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2. Рынок услуг детского отдыха и оздоровления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2. Рынок медицинских услуг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3. Рынок услуг дополнительного образования детей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3. Рынок услуг жилищно-коммунального хозяйства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4. Рынок медицинских услуг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4. Розничная торговля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5. 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5. Рынок услуг перевозок пассажиров наземным транспортом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6. Рынок услуг в сфере культуры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6. Рынок услуг связи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7. Рынок услуг жилищно-коммунального хозяйства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8. Розничная торговля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9. Рынок услуг перевозок пассажиров наземным транспортом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10. Рынок услуг связи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both"/>
            </w:pPr>
            <w:r>
              <w:t>11. Рынок услуг социального обслуживания населения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both"/>
            </w:pPr>
          </w:p>
        </w:tc>
      </w:tr>
      <w:tr w:rsidR="00327BF4">
        <w:tc>
          <w:tcPr>
            <w:tcW w:w="9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both"/>
              <w:outlineLvl w:val="1"/>
            </w:pPr>
            <w:r>
              <w:t>Системные мероприятия по развитию конкурентной среды в субъекте РФ</w:t>
            </w:r>
          </w:p>
        </w:tc>
      </w:tr>
      <w:tr w:rsidR="00327BF4"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center"/>
            </w:pPr>
            <w:r>
              <w:t>Системные мероприятия новой редакции приложения к стандарту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center"/>
            </w:pPr>
            <w:r>
              <w:t>Системные мероприятия старой редакции приложения к стандарту</w:t>
            </w:r>
          </w:p>
        </w:tc>
      </w:tr>
      <w:tr w:rsidR="00327BF4">
        <w:tc>
          <w:tcPr>
            <w:tcW w:w="4829" w:type="dxa"/>
            <w:vMerge w:val="restart"/>
            <w:tcBorders>
              <w:top w:val="single" w:sz="4" w:space="0" w:color="auto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lastRenderedPageBreak/>
              <w:t>1. Развитие конкуренции при осуществлении процедур государственных и муниципальных закупок, а также закупок хозяйствующих субъектов Российской Федерации,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МСП</w:t>
            </w:r>
          </w:p>
        </w:tc>
        <w:tc>
          <w:tcPr>
            <w:tcW w:w="4840" w:type="dxa"/>
            <w:tcBorders>
              <w:top w:val="single" w:sz="4" w:space="0" w:color="auto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1. Развитие конкуренции при осуществлении процедур государственных закупок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vMerge/>
            <w:tcBorders>
              <w:top w:val="single" w:sz="4" w:space="0" w:color="auto"/>
              <w:bottom w:val="nil"/>
            </w:tcBorders>
          </w:tcPr>
          <w:p w:rsidR="00327BF4" w:rsidRDefault="00327BF4"/>
        </w:tc>
        <w:tc>
          <w:tcPr>
            <w:tcW w:w="4840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2. Совершенствование процессов управления объектами государственной собственности субъекта Российской Федерации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2. Совершенствование процессов управления объектами государственной собственности субъекта Российской Федерации</w:t>
            </w:r>
          </w:p>
        </w:tc>
        <w:tc>
          <w:tcPr>
            <w:tcW w:w="4840" w:type="dxa"/>
            <w:vMerge w:val="restart"/>
            <w:tcBorders>
              <w:top w:val="nil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both"/>
            </w:pPr>
            <w:r>
              <w:t>3. Ограничение влияния государственных предприятий на конкуренцию</w:t>
            </w:r>
          </w:p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3. Создание условий для развития конкуренции на рынке строительства</w:t>
            </w:r>
          </w:p>
        </w:tc>
        <w:tc>
          <w:tcPr>
            <w:tcW w:w="4840" w:type="dxa"/>
            <w:vMerge/>
            <w:tcBorders>
              <w:top w:val="nil"/>
              <w:bottom w:val="single" w:sz="4" w:space="0" w:color="auto"/>
            </w:tcBorders>
          </w:tcPr>
          <w:p w:rsidR="00327BF4" w:rsidRDefault="00327BF4"/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4. 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4840" w:type="dxa"/>
            <w:vMerge/>
            <w:tcBorders>
              <w:top w:val="nil"/>
              <w:bottom w:val="single" w:sz="4" w:space="0" w:color="auto"/>
            </w:tcBorders>
          </w:tcPr>
          <w:p w:rsidR="00327BF4" w:rsidRDefault="00327BF4"/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nil"/>
            </w:tcBorders>
          </w:tcPr>
          <w:p w:rsidR="00327BF4" w:rsidRDefault="00327BF4">
            <w:pPr>
              <w:pStyle w:val="ConsPlusNormal"/>
              <w:jc w:val="both"/>
            </w:pPr>
            <w:r>
              <w:t>5. Содействие развитию практики применения механизмов ГЧП, в том числе практики заключения концессионных соглашений в социальной сфере</w:t>
            </w:r>
          </w:p>
        </w:tc>
        <w:tc>
          <w:tcPr>
            <w:tcW w:w="4840" w:type="dxa"/>
            <w:vMerge/>
            <w:tcBorders>
              <w:top w:val="nil"/>
              <w:bottom w:val="single" w:sz="4" w:space="0" w:color="auto"/>
            </w:tcBorders>
          </w:tcPr>
          <w:p w:rsidR="00327BF4" w:rsidRDefault="00327BF4"/>
        </w:tc>
      </w:tr>
      <w:tr w:rsidR="00327BF4">
        <w:tblPrEx>
          <w:tblBorders>
            <w:insideH w:val="none" w:sz="0" w:space="0" w:color="auto"/>
          </w:tblBorders>
        </w:tblPrEx>
        <w:tc>
          <w:tcPr>
            <w:tcW w:w="4829" w:type="dxa"/>
            <w:tcBorders>
              <w:top w:val="nil"/>
              <w:bottom w:val="single" w:sz="4" w:space="0" w:color="auto"/>
            </w:tcBorders>
          </w:tcPr>
          <w:p w:rsidR="00327BF4" w:rsidRDefault="00327BF4">
            <w:pPr>
              <w:pStyle w:val="ConsPlusNormal"/>
              <w:jc w:val="both"/>
            </w:pPr>
            <w:r>
              <w:t>6. 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4840" w:type="dxa"/>
            <w:vMerge/>
            <w:tcBorders>
              <w:top w:val="nil"/>
              <w:bottom w:val="single" w:sz="4" w:space="0" w:color="auto"/>
            </w:tcBorders>
          </w:tcPr>
          <w:p w:rsidR="00327BF4" w:rsidRDefault="00327BF4"/>
        </w:tc>
      </w:tr>
    </w:tbl>
    <w:p w:rsidR="00327BF4" w:rsidRDefault="00327BF4">
      <w:pPr>
        <w:sectPr w:rsidR="00327B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27BF4" w:rsidRDefault="00327BF4">
      <w:pPr>
        <w:pStyle w:val="ConsPlusNormal"/>
        <w:ind w:firstLine="540"/>
        <w:jc w:val="both"/>
      </w:pPr>
    </w:p>
    <w:p w:rsidR="00327BF4" w:rsidRDefault="00327BF4">
      <w:pPr>
        <w:pStyle w:val="ConsPlusNormal"/>
        <w:ind w:firstLine="540"/>
        <w:jc w:val="both"/>
      </w:pPr>
      <w:r>
        <w:t xml:space="preserve">6. Согласно старой редакции стандарта "дорожная карта" разрабатывается на основе результатов мониторинга (пункт 2 требования 4 старой редакции стандарта). В соответствии же с </w:t>
      </w:r>
      <w:hyperlink r:id="rId20" w:history="1">
        <w:r>
          <w:rPr>
            <w:color w:val="0000FF"/>
          </w:rPr>
          <w:t>пунктом 29 раздела V</w:t>
        </w:r>
      </w:hyperlink>
      <w:r>
        <w:t xml:space="preserve"> стандарта "Мероприятия (в том числе системные), предусмотренные "дорожной картой", для рынков, предусмотренных приложением к стандарту, могут разрабатываться до выполнения проведения мониторинга".</w:t>
      </w:r>
    </w:p>
    <w:p w:rsidR="00327BF4" w:rsidRDefault="00327BF4">
      <w:pPr>
        <w:pStyle w:val="ConsPlusNormal"/>
        <w:ind w:firstLine="540"/>
        <w:jc w:val="both"/>
      </w:pPr>
      <w:r>
        <w:t>7. Существенно расширены и уточнены положения стандарта о направлениях системных мероприятий "дорожной карты" (</w:t>
      </w:r>
      <w:hyperlink r:id="rId21" w:history="1">
        <w:r>
          <w:rPr>
            <w:color w:val="0000FF"/>
          </w:rPr>
          <w:t>пункт 32 раздела V</w:t>
        </w:r>
      </w:hyperlink>
      <w:r>
        <w:t xml:space="preserve"> стандарта).</w:t>
      </w:r>
    </w:p>
    <w:p w:rsidR="00327BF4" w:rsidRDefault="00327BF4">
      <w:pPr>
        <w:pStyle w:val="ConsPlusNormal"/>
        <w:ind w:firstLine="540"/>
        <w:jc w:val="both"/>
      </w:pPr>
      <w:r>
        <w:t>В части оптимизации процедур государственных и муниципальных закупок уточнена доля участия субъекта Российской Федерации или муниципального образования (50 и более процентов) в хозяйствующих субъектах, на которых распространяются системные мероприятия при осуществлении ими закупок товаров, работ и услуг.</w:t>
      </w:r>
    </w:p>
    <w:p w:rsidR="00327BF4" w:rsidRDefault="00327BF4">
      <w:pPr>
        <w:pStyle w:val="ConsPlusNormal"/>
        <w:ind w:firstLine="540"/>
        <w:jc w:val="both"/>
      </w:pPr>
      <w:r>
        <w:t>Обращаем внимание, что абзац 4 подпункта "а" пункта 4 требования 4 старого стандарта "введение механизма централизации закупок, в частности для учреждений образования, здравоохранения, культуры и спорта" в новой редакции стандарта отсутствует.</w:t>
      </w:r>
    </w:p>
    <w:p w:rsidR="00327BF4" w:rsidRDefault="00327BF4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Согласно </w:t>
      </w:r>
      <w:hyperlink r:id="rId22" w:history="1">
        <w:r>
          <w:rPr>
            <w:color w:val="0000FF"/>
          </w:rPr>
          <w:t>подпункту "д" пункта 47 раздела VI</w:t>
        </w:r>
      </w:hyperlink>
      <w:r>
        <w:t xml:space="preserve"> стандарта "По результатам проведенного мониторинга уполномоченный орган подготавливает доклад, содержащий в том числе: "предложения об улучшении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развития конкуренции...".</w:t>
      </w:r>
      <w:proofErr w:type="gramEnd"/>
    </w:p>
    <w:p w:rsidR="00327BF4" w:rsidRDefault="00327BF4">
      <w:pPr>
        <w:pStyle w:val="ConsPlusNormal"/>
        <w:ind w:firstLine="540"/>
        <w:jc w:val="both"/>
      </w:pPr>
      <w:r>
        <w:t>Таким образом, территориальному органу ФАС России необходимо учитывать, что орган исполнительной власти субъекта Российской Федерации по результатам каждого календарного года будет давать оценку деятельности территориального органа ФАС России, в том числе в части содействия внедрению стандарта на территории региона.</w:t>
      </w:r>
    </w:p>
    <w:p w:rsidR="00327BF4" w:rsidRDefault="00327BF4">
      <w:pPr>
        <w:pStyle w:val="ConsPlusNormal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пунктом 50 раздела VI</w:t>
        </w:r>
      </w:hyperlink>
      <w:r>
        <w:t xml:space="preserve"> стандарта "Материалы доклада могут использоваться Федеральной антимонопольной службой... при подготовке предложений в Правительство Российской Федерации о внесении изменений в законодательство Российской Федерации, утверждение (принятие) которых позволит повысить развитие конкуренции и улучшить условия ведения бизнеса в Российской Федерации</w:t>
      </w:r>
      <w:proofErr w:type="gramStart"/>
      <w:r>
        <w:t>.".</w:t>
      </w:r>
      <w:proofErr w:type="gramEnd"/>
    </w:p>
    <w:p w:rsidR="00327BF4" w:rsidRDefault="00327BF4">
      <w:pPr>
        <w:pStyle w:val="ConsPlusNormal"/>
        <w:ind w:firstLine="540"/>
        <w:jc w:val="both"/>
      </w:pPr>
      <w:r>
        <w:t xml:space="preserve">Территориальные органы </w:t>
      </w:r>
      <w:proofErr w:type="gramStart"/>
      <w:r>
        <w:t xml:space="preserve">на основе опыта регионов по внедрению </w:t>
      </w:r>
      <w:hyperlink r:id="rId24" w:history="1">
        <w:r>
          <w:rPr>
            <w:color w:val="0000FF"/>
          </w:rPr>
          <w:t>стандарта</w:t>
        </w:r>
      </w:hyperlink>
      <w:r>
        <w:t xml:space="preserve"> в случае наличия предложений по внесению изменений в законодательство</w:t>
      </w:r>
      <w:proofErr w:type="gramEnd"/>
      <w:r>
        <w:t xml:space="preserve"> Российской Федерации, в том числе в стандарт развития конкуренции в субъектах Российской Федерации, направляют указанные предложения в ФАС России.</w:t>
      </w:r>
    </w:p>
    <w:p w:rsidR="00327BF4" w:rsidRDefault="00327BF4">
      <w:pPr>
        <w:pStyle w:val="ConsPlusNormal"/>
        <w:ind w:firstLine="540"/>
        <w:jc w:val="both"/>
      </w:pPr>
      <w:r>
        <w:t xml:space="preserve">9. </w:t>
      </w:r>
      <w:hyperlink r:id="rId25" w:history="1">
        <w:r>
          <w:rPr>
            <w:color w:val="0000FF"/>
          </w:rPr>
          <w:t>Стандарт</w:t>
        </w:r>
      </w:hyperlink>
      <w:r>
        <w:t xml:space="preserve"> дополнен важным полномочием уполномоченного органа субъекта Российской Федерации: "организует проведение и (или) проводит не реже 2 раз в год обучающие мероприятия и тренинги для органов местного самоуправления по вопросам содействия развитию конкуренции" (</w:t>
      </w:r>
      <w:hyperlink r:id="rId26" w:history="1">
        <w:r>
          <w:rPr>
            <w:color w:val="0000FF"/>
          </w:rPr>
          <w:t>подпункт "д" пункта 9 раздела II</w:t>
        </w:r>
      </w:hyperlink>
      <w:r>
        <w:t xml:space="preserve"> стандарта). В этой связи представляется целесообразным в инициативном порядке предложить уполномоченному органу субъекта Российской Федерации тематику выступлений представителей территориального органа ФАС России на указанных мероприятиях.</w:t>
      </w:r>
    </w:p>
    <w:p w:rsidR="00327BF4" w:rsidRDefault="00327BF4">
      <w:pPr>
        <w:pStyle w:val="ConsPlusNormal"/>
        <w:ind w:firstLine="540"/>
        <w:jc w:val="both"/>
      </w:pPr>
      <w:r>
        <w:t xml:space="preserve">10. </w:t>
      </w:r>
      <w:hyperlink r:id="rId27" w:history="1">
        <w:r>
          <w:rPr>
            <w:color w:val="0000FF"/>
          </w:rPr>
          <w:t>Раздел</w:t>
        </w:r>
      </w:hyperlink>
      <w:r>
        <w:t xml:space="preserve"> "Создание и реализация механизмов общественного </w:t>
      </w:r>
      <w:proofErr w:type="gramStart"/>
      <w:r>
        <w:t>контроля за</w:t>
      </w:r>
      <w:proofErr w:type="gramEnd"/>
      <w:r>
        <w:t xml:space="preserve"> деятельностью естественных монополий" претерпел существенные изменения.</w:t>
      </w:r>
    </w:p>
    <w:p w:rsidR="00327BF4" w:rsidRDefault="00327BF4">
      <w:pPr>
        <w:pStyle w:val="ConsPlusNormal"/>
        <w:ind w:firstLine="540"/>
        <w:jc w:val="both"/>
      </w:pPr>
      <w:r>
        <w:t>С учетом передачи функций тарифного регулирования в ведение ФАС России просим особое внимание обратить на положения этого раздела.</w:t>
      </w:r>
    </w:p>
    <w:p w:rsidR="00327BF4" w:rsidRDefault="00327BF4">
      <w:pPr>
        <w:pStyle w:val="ConsPlusNormal"/>
        <w:ind w:firstLine="540"/>
        <w:jc w:val="both"/>
      </w:pPr>
      <w:proofErr w:type="gramStart"/>
      <w:r>
        <w:t xml:space="preserve">В частности, если согласно старой редакции стандарта должен быть обеспечен обязательный учет мнения потребителей товаров и услуг субъектов естественных монополий при осуществлении тарифного регулирования, а также при согласовании и утверждении инвестиционных программ субъектов естественных монополий, схем территориального планирования, генеральных планов поселений и городских округов, то согласно </w:t>
      </w:r>
      <w:hyperlink r:id="rId28" w:history="1">
        <w:r>
          <w:rPr>
            <w:color w:val="0000FF"/>
          </w:rPr>
          <w:t>абзацу 3 пункта 53</w:t>
        </w:r>
      </w:hyperlink>
      <w:r>
        <w:t xml:space="preserve"> мнения представителей потребителей "могут быть учтены".</w:t>
      </w:r>
      <w:proofErr w:type="gramEnd"/>
    </w:p>
    <w:p w:rsidR="00327BF4" w:rsidRDefault="00327BF4">
      <w:pPr>
        <w:pStyle w:val="ConsPlusNormal"/>
        <w:ind w:firstLine="540"/>
        <w:jc w:val="both"/>
      </w:pPr>
      <w:r>
        <w:t xml:space="preserve">Кроме того, согласно </w:t>
      </w:r>
      <w:hyperlink r:id="rId29" w:history="1">
        <w:r>
          <w:rPr>
            <w:color w:val="0000FF"/>
          </w:rPr>
          <w:t>пункту 57</w:t>
        </w:r>
      </w:hyperlink>
      <w:r>
        <w:t xml:space="preserve"> субъектам естественных монополий рекомендуется обеспечить доступность и наглядность в сети "Интернет" информации о свободных резервах трансформаторной мощности и ориентировочные места подключения (технологического </w:t>
      </w:r>
      <w:r>
        <w:lastRenderedPageBreak/>
        <w:t>присоединения) к сетям газораспределительных станций, с отображением на географической карте субъекта Российской Федерации.</w:t>
      </w:r>
    </w:p>
    <w:p w:rsidR="00327BF4" w:rsidRDefault="00327BF4">
      <w:pPr>
        <w:pStyle w:val="ConsPlusNormal"/>
        <w:ind w:firstLine="540"/>
        <w:jc w:val="both"/>
      </w:pPr>
      <w:proofErr w:type="gramStart"/>
      <w:r>
        <w:t xml:space="preserve">Обращаем внимание, что Примерные рекомендации по участию территориального органа ФАС России в рамках своей компетенции в содействии внедрению стандарта, ранее направленные в территориальные управления письмом ФАС России от 18.06.2015 N ЦА/30247/15, не входят в противоречие с положениями новой редакции стандарта, так как их подготовка осуществлялась в процессе участия ФАС России в работе над новой редакцией </w:t>
      </w:r>
      <w:hyperlink r:id="rId30" w:history="1">
        <w:r>
          <w:rPr>
            <w:color w:val="0000FF"/>
          </w:rPr>
          <w:t>стандарта</w:t>
        </w:r>
      </w:hyperlink>
      <w:r>
        <w:t>.</w:t>
      </w:r>
      <w:proofErr w:type="gramEnd"/>
    </w:p>
    <w:p w:rsidR="00327BF4" w:rsidRDefault="00327BF4">
      <w:pPr>
        <w:pStyle w:val="ConsPlusNormal"/>
        <w:ind w:firstLine="540"/>
        <w:jc w:val="both"/>
      </w:pPr>
    </w:p>
    <w:p w:rsidR="00327BF4" w:rsidRDefault="00327BF4">
      <w:pPr>
        <w:pStyle w:val="ConsPlusNormal"/>
        <w:jc w:val="right"/>
      </w:pPr>
      <w:r>
        <w:t>А.Г.ЦЫГАНОВ</w:t>
      </w:r>
    </w:p>
    <w:p w:rsidR="00327BF4" w:rsidRDefault="00327BF4">
      <w:pPr>
        <w:pStyle w:val="ConsPlusNormal"/>
        <w:ind w:firstLine="540"/>
        <w:jc w:val="both"/>
      </w:pPr>
    </w:p>
    <w:p w:rsidR="00327BF4" w:rsidRDefault="00327BF4">
      <w:pPr>
        <w:pStyle w:val="ConsPlusNormal"/>
        <w:ind w:firstLine="540"/>
        <w:jc w:val="both"/>
      </w:pPr>
    </w:p>
    <w:p w:rsidR="00327BF4" w:rsidRDefault="00327B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6E20" w:rsidRDefault="00856E20">
      <w:bookmarkStart w:id="0" w:name="_GoBack"/>
      <w:bookmarkEnd w:id="0"/>
    </w:p>
    <w:sectPr w:rsidR="00856E20" w:rsidSect="00572AA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F4"/>
    <w:rsid w:val="00327BF4"/>
    <w:rsid w:val="0085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2AA3A3E8CE7CAC62D7DB898C7C63D9FE0848591BEEE501A05A745240200878D8FFE5EDBFB8C8FBs2iEI" TargetMode="External"/><Relationship Id="rId13" Type="http://schemas.openxmlformats.org/officeDocument/2006/relationships/hyperlink" Target="consultantplus://offline/ref=3C2AA3A3E8CE7CAC62D7DB898C7C63D9FE0848591BEEE501A05A745240200878D8FFE5EDBFB8C8FBs2iEI" TargetMode="External"/><Relationship Id="rId18" Type="http://schemas.openxmlformats.org/officeDocument/2006/relationships/hyperlink" Target="consultantplus://offline/ref=3C2AA3A3E8CE7CAC62D7DB898C7C63D9FE0848591BEEE501A05A745240200878D8FFE5EDBFB8C8FCs2iCI" TargetMode="External"/><Relationship Id="rId26" Type="http://schemas.openxmlformats.org/officeDocument/2006/relationships/hyperlink" Target="consultantplus://offline/ref=3C2AA3A3E8CE7CAC62D7DB898C7C63D9FE0848591BEEE501A05A745240200878D8FFE5EDBFB8C8F9s2i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2AA3A3E8CE7CAC62D7DB898C7C63D9FE0848591BEEE501A05A745240200878D8FFE5EDBFB8C9FAs2iFI" TargetMode="External"/><Relationship Id="rId7" Type="http://schemas.openxmlformats.org/officeDocument/2006/relationships/hyperlink" Target="consultantplus://offline/ref=3C2AA3A3E8CE7CAC62D7DB898C7C63D9FE0848591BEEE501A05A745240200878D8FFE5EDBFB8C8FBs2iEI" TargetMode="External"/><Relationship Id="rId12" Type="http://schemas.openxmlformats.org/officeDocument/2006/relationships/hyperlink" Target="consultantplus://offline/ref=3C2AA3A3E8CE7CAC62D7DB898C7C63D9FE0848591BEEE501A05A745240200878D8FFE5EDBFB8C9F3s2i7I" TargetMode="External"/><Relationship Id="rId17" Type="http://schemas.openxmlformats.org/officeDocument/2006/relationships/hyperlink" Target="consultantplus://offline/ref=3C2AA3A3E8CE7CAC62D7DB898C7C63D9FE0848591BEEE501A05A745240200878D8FFE5EDBFB8C8FEs2iCI" TargetMode="External"/><Relationship Id="rId25" Type="http://schemas.openxmlformats.org/officeDocument/2006/relationships/hyperlink" Target="consultantplus://offline/ref=3C2AA3A3E8CE7CAC62D7DB898C7C63D9FE0848591BEEE501A05A745240200878D8FFE5EDBFB8C8FBs2i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2AA3A3E8CE7CAC62D7DB898C7C63D9FE0848591BEEE501A05A745240200878D8FFE5EDBFB8C8F8s2iAI" TargetMode="External"/><Relationship Id="rId20" Type="http://schemas.openxmlformats.org/officeDocument/2006/relationships/hyperlink" Target="consultantplus://offline/ref=3C2AA3A3E8CE7CAC62D7DB898C7C63D9FE0848591BEEE501A05A745240200878D8FFE5EDBFB8C8F2s2i7I" TargetMode="External"/><Relationship Id="rId29" Type="http://schemas.openxmlformats.org/officeDocument/2006/relationships/hyperlink" Target="consultantplus://offline/ref=3C2AA3A3E8CE7CAC62D7DB898C7C63D9FE0848591BEEE501A05A745240200878D8FFE5EDBFB8C9F2s2i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2AA3A3E8CE7CAC62D7DB898C7C63D9FE0848591BEEE501A05A745240200878D8FFE5EDBFB8C8FAs2iDI" TargetMode="External"/><Relationship Id="rId11" Type="http://schemas.openxmlformats.org/officeDocument/2006/relationships/hyperlink" Target="consultantplus://offline/ref=3C2AA3A3E8CE7CAC62D7DB898C7C63D9FE0848591BEEE501A05A745240200878D8FFE5EDBFB8C8FDs2iAI" TargetMode="External"/><Relationship Id="rId24" Type="http://schemas.openxmlformats.org/officeDocument/2006/relationships/hyperlink" Target="consultantplus://offline/ref=3C2AA3A3E8CE7CAC62D7DB898C7C63D9FE0848591BEEE501A05A745240200878D8FFE5EDBFB8C8FBs2iE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2AA3A3E8CE7CAC62D7DB898C7C63D9FE07485C1FE6E501A05A745240s2i0I" TargetMode="External"/><Relationship Id="rId23" Type="http://schemas.openxmlformats.org/officeDocument/2006/relationships/hyperlink" Target="consultantplus://offline/ref=3C2AA3A3E8CE7CAC62D7DB898C7C63D9FE0848591BEEE501A05A745240200878D8FFE5EDBFB8C9FDs2iCI" TargetMode="External"/><Relationship Id="rId28" Type="http://schemas.openxmlformats.org/officeDocument/2006/relationships/hyperlink" Target="consultantplus://offline/ref=3C2AA3A3E8CE7CAC62D7DB898C7C63D9FE0848591BEEE501A05A745240200878D8FFE5EDBFB8C9FDs2i6I" TargetMode="External"/><Relationship Id="rId10" Type="http://schemas.openxmlformats.org/officeDocument/2006/relationships/hyperlink" Target="consultantplus://offline/ref=3C2AA3A3E8CE7CAC62D7DB898C7C63D9FE0848591BEEE501A05A745240200878D8FFE5EDBFB8C8FBs2iAI" TargetMode="External"/><Relationship Id="rId19" Type="http://schemas.openxmlformats.org/officeDocument/2006/relationships/hyperlink" Target="consultantplus://offline/ref=3C2AA3A3E8CE7CAC62D7DB898C7C63D9FE0848591BEEE501A05A745240200878D8FFE5EDBFB8C9F3s2i7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2AA3A3E8CE7CAC62D7DB898C7C63D9FE0848591BEEE501A05A745240200878D8FFE5EDBFB8C8FBs2iEI" TargetMode="External"/><Relationship Id="rId14" Type="http://schemas.openxmlformats.org/officeDocument/2006/relationships/hyperlink" Target="consultantplus://offline/ref=3C2AA3A3E8CE7CAC62D7DB898C7C63D9FE094C5C19E3E501A05A745240s2i0I" TargetMode="External"/><Relationship Id="rId22" Type="http://schemas.openxmlformats.org/officeDocument/2006/relationships/hyperlink" Target="consultantplus://offline/ref=3C2AA3A3E8CE7CAC62D7DB898C7C63D9FE0848591BEEE501A05A745240200878D8FFE5EDBFB8C9FCs2i7I" TargetMode="External"/><Relationship Id="rId27" Type="http://schemas.openxmlformats.org/officeDocument/2006/relationships/hyperlink" Target="consultantplus://offline/ref=3C2AA3A3E8CE7CAC62D7DB898C7C63D9FE0848591BEEE501A05A745240200878D8FFE5EDBFB8C9FDs2iBI" TargetMode="External"/><Relationship Id="rId30" Type="http://schemas.openxmlformats.org/officeDocument/2006/relationships/hyperlink" Target="consultantplus://offline/ref=3C2AA3A3E8CE7CAC62D7DB898C7C63D9FE0848591BEEE501A05A745240200878D8FFE5EDBFB8C8FBs2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2211</Words>
  <Characters>12607</Characters>
  <Application>Microsoft Office Word</Application>
  <DocSecurity>0</DocSecurity>
  <Lines>105</Lines>
  <Paragraphs>29</Paragraphs>
  <ScaleCrop>false</ScaleCrop>
  <Company/>
  <LinksUpToDate>false</LinksUpToDate>
  <CharactersWithSpaces>14789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Грива Елена Владимировна</dc:creator>
  <cp:lastModifiedBy>Грива Елена Владимировна</cp:lastModifiedBy>
  <cp:revision>2</cp:revision>
  <dcterms:created xsi:type="dcterms:W3CDTF">2016-08-31T08:34:00Z</dcterms:created>
  <dcterms:modified xsi:type="dcterms:W3CDTF">2016-08-31T08:34:00Z</dcterms:modified>
</cp:coreProperties>
</file>