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1"/>
        <w:pBdr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Отчет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21"/>
        <w:pBdr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Народной дружины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21"/>
        <w:pBdr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Добрянского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21"/>
        <w:pBdr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квартал </w:t>
      </w:r>
      <w:r>
        <w:rPr>
          <w:rFonts w:ascii="Times New Roman" w:hAnsi="Times New Roman" w:cs="Times New Roman"/>
          <w:b/>
          <w:sz w:val="28"/>
          <w:szCs w:val="28"/>
        </w:rPr>
        <w:t xml:space="preserve">20</w:t>
      </w: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21"/>
        <w:pBdr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21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состоянию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марта 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 личный состав Народной дружины составил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из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мужчин в возрасте 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женщин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возрасте 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Осуществлено 315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человека/выхода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что составило 1104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мин.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1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Самостоятельно и совместно с сотрудниками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тдела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МВД России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«Добрянский»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квартал 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 осуществлено 104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выход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народных дружинников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том числе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на: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общественно – политические, кул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ьтурно – массовые и спортивные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мероприятия, организаторами которых являл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муниципальный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Пермский край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повседневные дежурства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охране общественного порядка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ОППС Отдела МВД России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«Добрянский»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 (в связи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некомплектом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поисковые мероприятия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рейдовые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оператив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 профилактические мероприятия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96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проверк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подучетных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находящихся без сопровождения родителей,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т.ч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в местах нахождение в которых может причинить вред их здоровью, физическому, интеллектуальному, психическому, духовному и нравственному развит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ию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т.ч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в ночное время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беспризорных, без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надзорных, бродяжничающих детей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массово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 скопления несовершеннолетних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ОПМ «Опасный водитель»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ОПМ «Ребенок пассажир!»,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ОПМ «Внимание. Пешеход!»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ОПМ «Надзор»,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ОПМ «Арсенал»,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ОПМ «Нелегал»,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ОПМ «Паутина»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др.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профилактическое мероприятие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распространени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правовых знаний 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что составило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час.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мин.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Проверено: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состоящ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учете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административн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надзор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миграционном учете,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ФПАН и УИИ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327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мест концентрации преступного элемента,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т.ч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несовершеннолетних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(улицы,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дворы,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общественные места, детские площадки,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территории школ и детских садов,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подъезды, подвалы, чердаки, торговые объекты, увеселительные заведения, притоны, гаражи, автостоянки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заброшенные и строящиеся здания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др.)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лесопарковая, береговые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пляжны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- 36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здани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 и подьездов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предмет выявления граффити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объявлений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обнаружено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объявления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3 граффити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линии НОН.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Распространено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памят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безопасности на водных объектах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пожарной безопасности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роведено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мероприяти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выявлению фактов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незаконной продаж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контрафактной,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табачной,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энергетической,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алкогольной и спиртосодержащей продукции, проверено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торговых объектов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зафиксировано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32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нарушени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законодательства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Выявлено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пресечено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162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министративных правонарушени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составлен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протокол уполномоченным лицом)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W w:w="10173" w:type="dxa"/>
        <w:tblBorders/>
        <w:tblLayout w:type="fixed"/>
        <w:tblpPr w:horzAnchor="text" w:tblpXSpec="center" w:vertAnchor="text" w:tblpY="1" w:leftFromText="180" w:topFromText="0" w:rightFromText="180" w:bottomFromText="0"/>
        <w:tblOverlap w:val="never"/>
        <w:tblLook w:val="04A0" w:firstRow="1" w:lastRow="0" w:firstColumn="1" w:lastColumn="0" w:noHBand="0" w:noVBand="1"/>
        <w:tblStyle w:val="920"/>
      </w:tblPr>
      <w:tblGrid>
        <w:gridCol w:w="567"/>
        <w:gridCol w:w="4928"/>
        <w:gridCol w:w="867"/>
        <w:gridCol w:w="834"/>
        <w:gridCol w:w="992"/>
        <w:gridCol w:w="992"/>
        <w:gridCol w:w="993"/>
      </w:tblGrid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4928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Статья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gridSpan w:val="5"/>
            <w:tcBorders/>
            <w:tcW w:w="4678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 w:firstLine="884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921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4928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Статьям КоАП РФ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 кв.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34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 кв.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 кв.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 кв.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921"/>
              <w:numPr>
                <w:ilvl w:val="0"/>
                <w:numId w:val="15"/>
              </w:numPr>
              <w:pBdr/>
              <w:tabs>
                <w:tab w:val="left" w:leader="none" w:pos="851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4928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ст. 5.35 Неисполнение или ненадлежащее исполнение родителями или иными законными представителями несовершеннолетних обязанностей по содержанию, воспитанию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8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921"/>
              <w:numPr>
                <w:ilvl w:val="0"/>
                <w:numId w:val="15"/>
              </w:numPr>
              <w:pBdr/>
              <w:tabs>
                <w:tab w:val="left" w:leader="none" w:pos="851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4928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ч.1 ст. 6.10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Вовлечение несовершеннолетнего в употребление алкогольной и спиртосодержащей продукции, новых потенциально опасных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психоактивных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веществ или одурманивающих веществ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8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921"/>
              <w:numPr>
                <w:ilvl w:val="0"/>
                <w:numId w:val="15"/>
              </w:numPr>
              <w:pBdr/>
              <w:tabs>
                <w:tab w:val="left" w:leader="none" w:pos="851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4928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ч.1 ст. 6.23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Вовлечение несовершеннолетнего в процесс потребления табака или потребления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никотинсодержащей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продукции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8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921"/>
              <w:numPr>
                <w:ilvl w:val="0"/>
                <w:numId w:val="15"/>
              </w:numPr>
              <w:pBdr/>
              <w:tabs>
                <w:tab w:val="left" w:leader="none" w:pos="851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4928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глава 12 Административные правонарушения.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части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дорожного движения.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111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8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111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921"/>
              <w:numPr>
                <w:ilvl w:val="0"/>
                <w:numId w:val="15"/>
              </w:numPr>
              <w:pBdr/>
              <w:tabs>
                <w:tab w:val="left" w:leader="none" w:pos="851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4928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ч. 2.1 ст.14.16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Нарушение правил продажи этилового спирта, алкогольной и спиртосодержащей продукции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8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921"/>
              <w:numPr>
                <w:ilvl w:val="0"/>
                <w:numId w:val="15"/>
              </w:numPr>
              <w:pBdr/>
              <w:tabs>
                <w:tab w:val="left" w:leader="none" w:pos="851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4928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ч. 3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ст.14.17 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Нарушение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требований к производству или обороту этилового спирта, алкогольной и спиртосодержащей продукции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8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921"/>
              <w:numPr>
                <w:ilvl w:val="0"/>
                <w:numId w:val="15"/>
              </w:numPr>
              <w:pBdr/>
              <w:tabs>
                <w:tab w:val="left" w:leader="none" w:pos="851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4928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ст.14.17.1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Незаконная розничная продажа алкогольной и спиртосодержащей пищевой продукции физическими лицами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8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921"/>
              <w:numPr>
                <w:ilvl w:val="0"/>
                <w:numId w:val="15"/>
              </w:numPr>
              <w:pBdr/>
              <w:tabs>
                <w:tab w:val="left" w:leader="none" w:pos="851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4928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ст.14.2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Незаконная продажа товаров (иных вещей), свободная реализация которых запрещена или ограничена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8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921"/>
              <w:numPr>
                <w:ilvl w:val="0"/>
                <w:numId w:val="15"/>
              </w:numPr>
              <w:pBdr/>
              <w:tabs>
                <w:tab w:val="left" w:leader="none" w:pos="851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4928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ст. 14.53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Несоблюдение ограничений и нарушение запретов в сфере торговли табачной продукцией, табачными изделиями,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никотинсодержащей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продукцией, кальянами, устройствами для потребления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никотинсодержащей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продукции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8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921"/>
              <w:numPr>
                <w:ilvl w:val="0"/>
                <w:numId w:val="15"/>
              </w:numPr>
              <w:pBdr/>
              <w:tabs>
                <w:tab w:val="left" w:leader="none" w:pos="851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4928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ч.1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ст.18.10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Незаконное осуществление иностранным гражданином или лицом без гражданства трудовой деятельности в Российской Федерации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8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921"/>
              <w:numPr>
                <w:ilvl w:val="0"/>
                <w:numId w:val="15"/>
              </w:numPr>
              <w:pBdr/>
              <w:tabs>
                <w:tab w:val="left" w:leader="none" w:pos="851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4928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ст.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19.24 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Несоблюдение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административных ограничений и невыполнение обязанностей, устанавливаемых при административном надзоре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8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921"/>
              <w:numPr>
                <w:ilvl w:val="0"/>
                <w:numId w:val="15"/>
              </w:numPr>
              <w:pBdr/>
              <w:tabs>
                <w:tab w:val="left" w:leader="none" w:pos="851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4928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ч.1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ст.19.3 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Неповиновение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законному распоряжению сотрудника полиции, военнослужащего, сотрудника органов федеральной службы безопасности, сотрудника органов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государственной охраны, сотрудника органов, осуществляющих федеральный государственный контроль (надзор) в сфере миграции, либо сотрудника органа или учреждения уголовно-исполнительной системы либо сотрудника войск национальной гвардии Российской Федерации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8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921"/>
              <w:numPr>
                <w:ilvl w:val="0"/>
                <w:numId w:val="15"/>
              </w:numPr>
              <w:pBdr/>
              <w:tabs>
                <w:tab w:val="left" w:leader="none" w:pos="851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4928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ч.1 ст.20.20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Потребление (распитие) алкогольной продукции в запрещенных местах либо потребление наркотических средств или психотропных веществ, новых потенциально опасных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психоактивных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веществ или одурманивающих веществ в общественных местах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8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921"/>
              <w:numPr>
                <w:ilvl w:val="0"/>
                <w:numId w:val="15"/>
              </w:numPr>
              <w:pBdr/>
              <w:tabs>
                <w:tab w:val="left" w:leader="none" w:pos="851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4928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ст. 20.25 Уклонение от административного наказания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8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921"/>
              <w:numPr>
                <w:ilvl w:val="0"/>
                <w:numId w:val="15"/>
              </w:num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4928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ч.1 ст.7.1 ЗПК №460-ПК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8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4928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162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8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162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участии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дружинников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 год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изъято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огнестрельного оружия (ед.)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ab/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1: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алкогольной продукции (л.)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ab/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13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л.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:</w:t>
        <w:tab/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спиртосодержащей продукции (л.)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ab/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л.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:</w:t>
        <w:tab/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Табачн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ой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продукци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пач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.)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 453: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Порох (кг.)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0,6974: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участи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раскрытии преступлений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целях распространения правовых знаний, разъяснения норм поведения в общественных местах проведен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беседы с охватом 610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человек (рабочие коллективы, учащиеся,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подучетный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элемент,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жители и гости города):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/>
        <w:tblLook w:val="04A0" w:firstRow="1" w:lastRow="0" w:firstColumn="1" w:lastColumn="0" w:noHBand="0" w:noVBand="1"/>
        <w:tblStyle w:val="920"/>
      </w:tblPr>
      <w:tblGrid>
        <w:gridCol w:w="1170"/>
        <w:gridCol w:w="6675"/>
        <w:gridCol w:w="1125"/>
        <w:gridCol w:w="2190"/>
      </w:tblGrid>
      <w:tr>
        <w:trPr>
          <w:trHeight w:val="6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Дата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right="0" w:firstLine="0" w:left="142"/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Наименование проведенной беседы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Кол-во чел.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Категория 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55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запрете распития спиртных напитков в общественных местах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население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55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запрете запуска питард и бомбочек в близи массового скопления людей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смешанная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4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недопущении порчи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подросток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55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запрете потребления спиртных напитков в юношеском возрасте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подростки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4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законопослушном поведении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подростки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55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запрете игры с пиротехникой и законопослушном поведении.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подростки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55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законопослушном поведении.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подростки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69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соблюдении законодательства и недопущении передачи пиротехнических изделий детям.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взрослые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69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законопослушном поведении в общественных местах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взрослые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4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ведении здорового образа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подросток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8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соблюдении законодательства, в части нахождения в общественных местах в алкогольном опьянении.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взрослые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55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запрете скатывания на ватрушках с гор, вблизи примыкания автомобильных дорог.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несовершеннолетние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8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Игровая форма распространения правовых знаний среди несовершеннолетних «Святки, колядки в дружбе с законом» - О недопущении потребления ПАВ. Правила поведения в общественных местах. Последствия совершения противоправного деяния.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воспитанники Росинки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14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«Проводы Деда Мороза и Снегурочки» - праздник правил безопасного повед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ения, в рамках мероприятия проведены беседы: по ПДД; правилам поведения в общественных местах и на льду, в быту и на воде; административная и уголовная ответственность, о правилах пожарной безопасности при использовании открытого огня и разведении костров.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несовершеннолетние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4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запрете выезда на лед на технике (снегоход).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мужчины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55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запрете курения вейпов в помещениях культуры.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подростки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68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03.02.2026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Профилактическая беседа «Культу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 речи и безопасность». Нецензурная слова и как с этим справить. О недопущении потребления ПАВ. Правила поведения в общественных местах. Последствия совершения противоправного деяния. Правила пожарной безопасности и быстрого реагирования экстренных служб.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воспитанники Росинки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56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08.02.2026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запрете распития спиртных напитков в общественных местах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команда ПГРЭС и болельщики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0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13.02.2026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законопослушном поведении и соблюдении комендантского 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подросток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4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13.02.2026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законопослушном поведении.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подростки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4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13.02.2026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законопослушном поведении.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подростки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4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13.02.2026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соблюдении комендантского часа.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подростки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55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13.02.2026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запрете распития спиртных напитков в общественных местах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подростки и взрослый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4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13.02.2026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законопослушном поведении.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подростки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11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18.02.2026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«Зиму провожаем, весну встречаем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». В игровой форме доведение информации до несовершеннолетних о законопослушном поведении, занятии физической культурой, соблюдении ПДД, о недопущении потребления ПАВ, правила поведения в общественных местах, последствия совершения противоправного деяния.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воспитанники Росинки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87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20.02.2026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«Безопасность детства». Просмотр видеоролик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ов по безопасному поведению на воде в зимний и весенний периоды, соблюдению требований пожарной безопасности, правила безопасного поведения на улице, в школе и в быту. Доведена информация по деятельности народной дружины Добрянского муниципального округа.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учащиеся и педагоги Сенькинской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63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21.02.2026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запрете курения на объектах культуры.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Подростки из команды Добрянка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69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28.02.2026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запрете курения на территории объектов спорта.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водители прокуратуры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55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запрете выезда на лед на технике (снегоход).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команда Адреналин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26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Разъяснили применение Федерального закона от 23.02.2013 № 15-ФЗ «О защите здоровья граждан от воздействия окружающего табачного дыма, последствий потребления табака или потребления никотинсодержащей продукции».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организаторы и болельщики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4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законопослушном поведении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подростки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25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Акция «Автоледи»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«Безопасность на дороге!»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Распространение правовых знаний среди жителей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округа, в том числе несовершеннолетних по правилам дорожного движения. Профилактика дорожно-транспортных происшествий, связанных с наездом на пешеходов в зимнее и летнее время, в том числе в темное время суток. Пропаганда безопасного поведения на дорогах.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запрете распития спиртных напитков в объектах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0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запрете распития спиртных напитков в объектах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4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соблюдении ПДД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безопасном переходе автомобильной дороги.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42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соблюдении ПДД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4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законопослушном поведении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4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соблюдении ПДД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6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безопасном переходе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соблюдении ПДД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законопослушном поведении. О запрете нахождения в алкогольном опьянении в общественных местах.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запрете курения в объектах культуры.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соблюдении ПДД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законопослушном поведении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4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соблюдении комендантского часа.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4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законопослушном поведении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54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запрете распития спиртных напитков в общественных местах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68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запрете распития спиртных напитков и вовлечению несовершеннолетних в употребление алкоголя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55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законопослушном поведении в общественных местах и быту.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соблюдении ПДД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безопасном переходе автомобильных дорог.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безопасном переходе автомобильных 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законопослушном поведении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соблюдении ПДД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законопослушном поведении и запрете езды на автомобильном транспорте без водительского удостоверения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безопасном переходе автомобильных дорог.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соблюдении ПДД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законопослушном поведении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59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20.03.2023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соблюдении тишины и покоя в ночное время. Об исполнении родительских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запрете распития спиртных напитков в общественных местах. О соблюдении законопослушного поведения.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запрете курения на объектах культуры.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несовершеннолетние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4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ведении ЗОЖ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несовершеннолетние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4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запрете распития спиртных напитков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несовершеннолетние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законопослушном поведении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ранее осужденные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61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соблюдении норм и правил административного 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ранее осужденные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законопослушном поведении в период отбывания наказания.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осужденные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соблюдении наложенного запрета.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ранее осужденные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соблюдении мер безопасности вблизи водных объектов и ведении законопослушного поведения.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несовершеннолетние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42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законопослушном поведении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ранее осужденные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соблюдении наложенного запрета.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ранее осужденные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75" w:type="dxa"/>
            <w:vAlign w:val="bottom"/>
            <w:textDirection w:val="lrTb"/>
            <w:noWrap w:val="false"/>
          </w:tcPr>
          <w:p>
            <w:pPr>
              <w:pBdr/>
              <w:spacing/>
              <w:ind w:right="0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соблюдении ПДД, законопослушного поведения, соблюдении комендантского часа.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несовершеннолетние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Девятый</w:t>
      </w:r>
      <w:r>
        <w:rPr>
          <w:rFonts w:ascii="Times New Roman" w:hAnsi="Times New Roman" w:cs="Times New Roman"/>
          <w:sz w:val="28"/>
          <w:szCs w:val="28"/>
        </w:rPr>
        <w:t xml:space="preserve"> год подряд совместно </w:t>
      </w:r>
      <w:r>
        <w:rPr>
          <w:rFonts w:ascii="Times New Roman" w:hAnsi="Times New Roman" w:cs="Times New Roman"/>
          <w:sz w:val="28"/>
          <w:szCs w:val="28"/>
        </w:rPr>
        <w:t xml:space="preserve">сотрудниками </w:t>
      </w:r>
      <w:r>
        <w:rPr>
          <w:rFonts w:ascii="Times New Roman" w:hAnsi="Times New Roman" w:cs="Times New Roman"/>
          <w:sz w:val="28"/>
          <w:szCs w:val="28"/>
        </w:rPr>
        <w:t xml:space="preserve">12 </w:t>
      </w:r>
      <w:r>
        <w:rPr>
          <w:rFonts w:ascii="Times New Roman" w:hAnsi="Times New Roman" w:cs="Times New Roman"/>
          <w:sz w:val="28"/>
          <w:szCs w:val="28"/>
        </w:rPr>
        <w:t xml:space="preserve">ОНДиПР</w:t>
      </w:r>
      <w:r>
        <w:rPr>
          <w:rFonts w:ascii="Times New Roman" w:hAnsi="Times New Roman" w:cs="Times New Roman"/>
          <w:sz w:val="28"/>
          <w:szCs w:val="28"/>
        </w:rPr>
        <w:t xml:space="preserve"> по Добрянскому городскому округу </w:t>
      </w:r>
      <w:r>
        <w:rPr>
          <w:rFonts w:ascii="Times New Roman" w:hAnsi="Times New Roman" w:cs="Times New Roman"/>
          <w:sz w:val="28"/>
          <w:szCs w:val="28"/>
        </w:rPr>
        <w:t xml:space="preserve">УНДиПР</w:t>
      </w:r>
      <w:r>
        <w:rPr>
          <w:rFonts w:ascii="Times New Roman" w:hAnsi="Times New Roman" w:cs="Times New Roman"/>
          <w:sz w:val="28"/>
          <w:szCs w:val="28"/>
        </w:rPr>
        <w:t xml:space="preserve"> ГУ МЧС России по Пермскому краю</w:t>
      </w:r>
      <w:r>
        <w:rPr>
          <w:rFonts w:ascii="Times New Roman" w:hAnsi="Times New Roman" w:cs="Times New Roman"/>
          <w:sz w:val="28"/>
          <w:szCs w:val="28"/>
        </w:rPr>
        <w:t xml:space="preserve">, а в этом году присоединилась</w:t>
      </w:r>
      <w:r>
        <w:rPr>
          <w:rFonts w:ascii="Times New Roman" w:hAnsi="Times New Roman" w:cs="Times New Roman"/>
          <w:sz w:val="28"/>
          <w:szCs w:val="28"/>
        </w:rPr>
        <w:t xml:space="preserve"> 115 ПСЧ 27 ПСО ФПС ГПС Главного управления МСЧ России по Пермскому краю</w:t>
      </w:r>
      <w:r>
        <w:rPr>
          <w:rFonts w:ascii="Times New Roman" w:hAnsi="Times New Roman" w:cs="Times New Roman"/>
          <w:sz w:val="28"/>
          <w:szCs w:val="28"/>
        </w:rPr>
        <w:t xml:space="preserve">, участвуе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в Спартакиаде среди предприятий, организаций и учреждений Добрянского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квартал - участие в 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этапах</w:t>
      </w:r>
      <w:r>
        <w:rPr>
          <w:rFonts w:ascii="Times New Roman" w:hAnsi="Times New Roman" w:cs="Times New Roman"/>
          <w:sz w:val="28"/>
          <w:szCs w:val="28"/>
        </w:rPr>
        <w:t xml:space="preserve"> (Хоккей в валенках, Лыжные гонки, </w:t>
      </w:r>
      <w:r>
        <w:rPr>
          <w:rFonts w:ascii="Times New Roman" w:hAnsi="Times New Roman" w:cs="Times New Roman"/>
          <w:sz w:val="28"/>
          <w:szCs w:val="28"/>
        </w:rPr>
        <w:t xml:space="preserve">Шахматы-Шашки</w:t>
      </w:r>
      <w:r>
        <w:rPr>
          <w:rFonts w:ascii="Times New Roman" w:hAnsi="Times New Roman" w:cs="Times New Roman"/>
          <w:sz w:val="28"/>
          <w:szCs w:val="28"/>
        </w:rPr>
        <w:t xml:space="preserve">, Зимняя рыбалка)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дружинник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ов по итогам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Батанова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А.И.,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Боровских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Ю.Е.,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Боталова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Ек.В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Боталова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Ел.В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Водолеева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С.Ю., Гидревич С.В.,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Гилев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Е.В.,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Долгих И.Н.. Думина Т.В., Елесин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Н.А.,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Елохина Е.С.,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Еловикова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С.А.,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Казначеева О.А., Клепилин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Е.А.,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Клепилина А.А., Клепилина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Л.В.,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Клепилина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Т.В., Корсакова И.А., Коскова –Петрова Л.Г., Кошелев С.В.,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Лисицина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В.В.,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Логинов И.Н., Львова К.В., Медведева А.И., Мелентьева О.В., Моисеева В.М.,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Мущинкин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И.О., Новиков Д.А., Пьянкова А.Д., Сухарева К.О., Сюткин А.М., Сюткина В.В.,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Частухина А.А.,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Червяков В.М.,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Чердаков А.А.,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Чувашова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А.М.,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Шарафутдинов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Е.А.,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Шилкова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О.А.,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Ярофеева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Е.В.) отмече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ны благодарственным письмом начальника Главного управления Министерства внутренних дел Российской Федерации по Пермскому краю генерал-майора полиции В.А.Толкунова за активную гражданскую позицию и самоотверженную помощь в обеспечении общественного порядка.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Клепилина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Т.В.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явля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ется членом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постоянно действующей комиссии по делам несовершеннолетних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Добрянского муниципального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округа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членом комиссии по профилактике правонарушений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антинаркотической комиссии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членом Общественного Совета при Отдел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МВД России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«Добрянский»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ации о деятельности Дружины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 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квартал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размещена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средствах массовой информации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241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раз, в том числе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страничке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контакте (</w:t>
      </w:r>
      <w:hyperlink r:id="rId10" w:tooltip="https://vk.com/club149518038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eastAsia="ru-RU"/>
          </w:rPr>
          <w:t xml:space="preserve">https://vk.com/club149518038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-52 в МАХ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hyperlink r:id="rId11" w:tooltip="https://max.ru/join/8tdHaAF4VPZd9LMEtkUXQI8JUssI4vkiMNsHfHDM42A" w:history="1">
        <w:r>
          <w:rPr>
            <w:rStyle w:val="924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  <w:u w:val="none"/>
            <w:lang w:eastAsia="ru-RU"/>
          </w:rPr>
          <w:t xml:space="preserve">https://max.ru/join/8tdHaAF4VPZd9LMEtkUXQI8JUssI4vkiMNsHfHDM42A</w:t>
        </w:r>
        <w:r>
          <w:rPr>
            <w:rStyle w:val="924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  <w:u w:val="none"/>
            <w:lang w:eastAsia="ru-RU"/>
          </w:rPr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Телеграм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hyperlink r:id="rId12" w:tooltip="https://t.me/DGODruzhina" w:history="1">
        <w:r>
          <w:rPr>
            <w:rStyle w:val="924"/>
            <w:rFonts w:ascii="Times New Roman" w:hAnsi="Times New Roman" w:eastAsia="Times New Roman" w:cs="Times New Roman"/>
            <w:color w:val="auto"/>
            <w:sz w:val="28"/>
            <w:szCs w:val="28"/>
            <w:u w:val="none"/>
            <w:lang w:eastAsia="ru-RU"/>
          </w:rPr>
          <w:t xml:space="preserve">https://t.me/DGODruzhina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- 5 официальная страничка ВКонтакте Администрация Добрянского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округа,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- 3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на с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айте Администрации Добрянского муниципального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округа (</w:t>
      </w:r>
      <w:hyperlink r:id="rId13" w:tooltip="http://dobrraion.ru/" w:history="1">
        <w:r>
          <w:rPr>
            <w:rStyle w:val="924"/>
            <w:rFonts w:ascii="Times New Roman" w:hAnsi="Times New Roman" w:eastAsia="Times New Roman" w:cs="Times New Roman"/>
            <w:bCs/>
            <w:color w:val="auto"/>
            <w:sz w:val="28"/>
            <w:szCs w:val="28"/>
            <w:u w:val="none"/>
            <w:lang w:eastAsia="ru-RU"/>
          </w:rPr>
          <w:t xml:space="preserve">http://dobrraion.ru/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-9 официальная страничка Вконтакте СМИ «Камские Зори»,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печатном издании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муниципальной газете «Камские зори»;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-3 официальная страничка Вконтакте СМИ «ЗориПлюс»,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на сайте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Главное управление МВД России по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Пермско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му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кра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ю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https://59.мвд.рф/news/item/23368273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);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- 45 страничка ВКонтакте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осавтоинспекция г. Добрянка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Отдел МВД России «Добрянский», Полиция Прикамья,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ли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чных страничках должностных лиц-Антонов Д.В.,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12 ОНД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школа 2, Сенькинская школа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Перемская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школа,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ДК Перемское, Моя Добрянка,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Подслушано Добрянка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Телеграм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https://t.me/Dobryankanovosti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видео о деятельности дружины,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т.ч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с участием народных дружинни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Также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информация о деятельности дружины распространяется в организациях и учреждения Добрянского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округа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Командир народной дружины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Добрянского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округа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Т.В.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Клепилина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709" w:right="850" w:bottom="56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855" w:left="1423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  <w:b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  <w:b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855" w:left="1423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855" w:left="142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855" w:left="1423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11"/>
  </w:num>
  <w:num w:numId="5">
    <w:abstractNumId w:val="1"/>
  </w:num>
  <w:num w:numId="6">
    <w:abstractNumId w:val="9"/>
  </w:num>
  <w:num w:numId="7">
    <w:abstractNumId w:val="4"/>
  </w:num>
  <w:num w:numId="8">
    <w:abstractNumId w:val="7"/>
  </w:num>
  <w:num w:numId="9">
    <w:abstractNumId w:val="14"/>
  </w:num>
  <w:num w:numId="10">
    <w:abstractNumId w:val="2"/>
  </w:num>
  <w:num w:numId="11">
    <w:abstractNumId w:val="10"/>
  </w:num>
  <w:num w:numId="12">
    <w:abstractNumId w:val="5"/>
  </w:num>
  <w:num w:numId="13">
    <w:abstractNumId w:val="3"/>
  </w:num>
  <w:num w:numId="14">
    <w:abstractNumId w:val="0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3">
    <w:name w:val="Table Grid Light"/>
    <w:basedOn w:val="91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1"/>
    <w:basedOn w:val="91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2"/>
    <w:basedOn w:val="91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1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2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3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4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5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6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1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2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3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4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5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6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1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2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3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4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5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6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8">
    <w:name w:val="Heading 1"/>
    <w:basedOn w:val="916"/>
    <w:next w:val="916"/>
    <w:link w:val="86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9">
    <w:name w:val="Heading 2"/>
    <w:basedOn w:val="916"/>
    <w:next w:val="916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60">
    <w:name w:val="Heading 3"/>
    <w:basedOn w:val="916"/>
    <w:next w:val="916"/>
    <w:link w:val="86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1">
    <w:name w:val="Heading 4"/>
    <w:basedOn w:val="916"/>
    <w:next w:val="916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2">
    <w:name w:val="Heading 5"/>
    <w:basedOn w:val="916"/>
    <w:next w:val="916"/>
    <w:link w:val="87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3">
    <w:name w:val="Heading 6"/>
    <w:basedOn w:val="916"/>
    <w:next w:val="916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4">
    <w:name w:val="Heading 7"/>
    <w:basedOn w:val="916"/>
    <w:next w:val="916"/>
    <w:link w:val="87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5">
    <w:name w:val="Heading 8"/>
    <w:basedOn w:val="916"/>
    <w:next w:val="916"/>
    <w:link w:val="87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6">
    <w:name w:val="Heading 9"/>
    <w:basedOn w:val="916"/>
    <w:next w:val="916"/>
    <w:link w:val="87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7">
    <w:name w:val="Heading 1 Char"/>
    <w:basedOn w:val="917"/>
    <w:link w:val="8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8">
    <w:name w:val="Heading 2 Char"/>
    <w:basedOn w:val="917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9">
    <w:name w:val="Heading 3 Char"/>
    <w:basedOn w:val="917"/>
    <w:link w:val="8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0">
    <w:name w:val="Heading 4 Char"/>
    <w:basedOn w:val="917"/>
    <w:link w:val="86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1">
    <w:name w:val="Heading 5 Char"/>
    <w:basedOn w:val="917"/>
    <w:link w:val="8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2">
    <w:name w:val="Heading 6 Char"/>
    <w:basedOn w:val="917"/>
    <w:link w:val="86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3">
    <w:name w:val="Heading 7 Char"/>
    <w:basedOn w:val="917"/>
    <w:link w:val="86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4">
    <w:name w:val="Heading 8 Char"/>
    <w:basedOn w:val="917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5">
    <w:name w:val="Heading 9 Char"/>
    <w:basedOn w:val="917"/>
    <w:link w:val="86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6">
    <w:name w:val="Title"/>
    <w:basedOn w:val="916"/>
    <w:next w:val="916"/>
    <w:link w:val="87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7">
    <w:name w:val="Title Char"/>
    <w:basedOn w:val="917"/>
    <w:link w:val="87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8">
    <w:name w:val="Subtitle"/>
    <w:basedOn w:val="916"/>
    <w:next w:val="916"/>
    <w:link w:val="87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9">
    <w:name w:val="Subtitle Char"/>
    <w:basedOn w:val="917"/>
    <w:link w:val="87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0">
    <w:name w:val="Quote"/>
    <w:basedOn w:val="916"/>
    <w:next w:val="916"/>
    <w:link w:val="88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1">
    <w:name w:val="Quote Char"/>
    <w:basedOn w:val="917"/>
    <w:link w:val="88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2">
    <w:name w:val="Intense Emphasis"/>
    <w:basedOn w:val="91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3">
    <w:name w:val="Intense Quote"/>
    <w:basedOn w:val="916"/>
    <w:next w:val="916"/>
    <w:link w:val="88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4">
    <w:name w:val="Intense Quote Char"/>
    <w:basedOn w:val="917"/>
    <w:link w:val="88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5">
    <w:name w:val="Intense Reference"/>
    <w:basedOn w:val="91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6">
    <w:name w:val="No Spacing"/>
    <w:basedOn w:val="916"/>
    <w:uiPriority w:val="1"/>
    <w:qFormat/>
    <w:pPr>
      <w:pBdr/>
      <w:spacing w:after="0" w:line="240" w:lineRule="auto"/>
      <w:ind/>
    </w:pPr>
  </w:style>
  <w:style w:type="character" w:styleId="887">
    <w:name w:val="Subtle Emphasis"/>
    <w:basedOn w:val="91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8">
    <w:name w:val="Emphasis"/>
    <w:basedOn w:val="917"/>
    <w:uiPriority w:val="20"/>
    <w:qFormat/>
    <w:pPr>
      <w:pBdr/>
      <w:spacing/>
      <w:ind/>
    </w:pPr>
    <w:rPr>
      <w:i/>
      <w:iCs/>
    </w:rPr>
  </w:style>
  <w:style w:type="character" w:styleId="889">
    <w:name w:val="Strong"/>
    <w:basedOn w:val="917"/>
    <w:uiPriority w:val="22"/>
    <w:qFormat/>
    <w:pPr>
      <w:pBdr/>
      <w:spacing/>
      <w:ind/>
    </w:pPr>
    <w:rPr>
      <w:b/>
      <w:bCs/>
    </w:rPr>
  </w:style>
  <w:style w:type="character" w:styleId="890">
    <w:name w:val="Subtle Reference"/>
    <w:basedOn w:val="91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1">
    <w:name w:val="Book Title"/>
    <w:basedOn w:val="91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2">
    <w:name w:val="Header"/>
    <w:basedOn w:val="916"/>
    <w:link w:val="89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3">
    <w:name w:val="Header Char"/>
    <w:basedOn w:val="917"/>
    <w:link w:val="892"/>
    <w:uiPriority w:val="99"/>
    <w:pPr>
      <w:pBdr/>
      <w:spacing/>
      <w:ind/>
    </w:pPr>
  </w:style>
  <w:style w:type="paragraph" w:styleId="894">
    <w:name w:val="Footer"/>
    <w:basedOn w:val="916"/>
    <w:link w:val="89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5">
    <w:name w:val="Footer Char"/>
    <w:basedOn w:val="917"/>
    <w:link w:val="894"/>
    <w:uiPriority w:val="99"/>
    <w:pPr>
      <w:pBdr/>
      <w:spacing/>
      <w:ind/>
    </w:pPr>
  </w:style>
  <w:style w:type="paragraph" w:styleId="896">
    <w:name w:val="Caption"/>
    <w:basedOn w:val="916"/>
    <w:next w:val="91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7">
    <w:name w:val="footnote text"/>
    <w:basedOn w:val="916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Footnote Text Char"/>
    <w:basedOn w:val="917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footnote reference"/>
    <w:basedOn w:val="917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endnote text"/>
    <w:basedOn w:val="916"/>
    <w:link w:val="9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1">
    <w:name w:val="Endnote Text Char"/>
    <w:basedOn w:val="917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902">
    <w:name w:val="endnote reference"/>
    <w:basedOn w:val="917"/>
    <w:uiPriority w:val="99"/>
    <w:semiHidden/>
    <w:unhideWhenUsed/>
    <w:pPr>
      <w:pBdr/>
      <w:spacing/>
      <w:ind/>
    </w:pPr>
    <w:rPr>
      <w:vertAlign w:val="superscript"/>
    </w:rPr>
  </w:style>
  <w:style w:type="character" w:styleId="903">
    <w:name w:val="FollowedHyperlink"/>
    <w:basedOn w:val="91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4">
    <w:name w:val="toc 1"/>
    <w:basedOn w:val="916"/>
    <w:next w:val="916"/>
    <w:uiPriority w:val="39"/>
    <w:unhideWhenUsed/>
    <w:pPr>
      <w:pBdr/>
      <w:spacing w:after="100"/>
      <w:ind/>
    </w:pPr>
  </w:style>
  <w:style w:type="paragraph" w:styleId="905">
    <w:name w:val="toc 2"/>
    <w:basedOn w:val="916"/>
    <w:next w:val="916"/>
    <w:uiPriority w:val="39"/>
    <w:unhideWhenUsed/>
    <w:pPr>
      <w:pBdr/>
      <w:spacing w:after="100"/>
      <w:ind w:left="220"/>
    </w:pPr>
  </w:style>
  <w:style w:type="paragraph" w:styleId="906">
    <w:name w:val="toc 3"/>
    <w:basedOn w:val="916"/>
    <w:next w:val="916"/>
    <w:uiPriority w:val="39"/>
    <w:unhideWhenUsed/>
    <w:pPr>
      <w:pBdr/>
      <w:spacing w:after="100"/>
      <w:ind w:left="440"/>
    </w:pPr>
  </w:style>
  <w:style w:type="paragraph" w:styleId="907">
    <w:name w:val="toc 4"/>
    <w:basedOn w:val="916"/>
    <w:next w:val="916"/>
    <w:uiPriority w:val="39"/>
    <w:unhideWhenUsed/>
    <w:pPr>
      <w:pBdr/>
      <w:spacing w:after="100"/>
      <w:ind w:left="660"/>
    </w:pPr>
  </w:style>
  <w:style w:type="paragraph" w:styleId="908">
    <w:name w:val="toc 5"/>
    <w:basedOn w:val="916"/>
    <w:next w:val="916"/>
    <w:uiPriority w:val="39"/>
    <w:unhideWhenUsed/>
    <w:pPr>
      <w:pBdr/>
      <w:spacing w:after="100"/>
      <w:ind w:left="880"/>
    </w:pPr>
  </w:style>
  <w:style w:type="paragraph" w:styleId="909">
    <w:name w:val="toc 6"/>
    <w:basedOn w:val="916"/>
    <w:next w:val="916"/>
    <w:uiPriority w:val="39"/>
    <w:unhideWhenUsed/>
    <w:pPr>
      <w:pBdr/>
      <w:spacing w:after="100"/>
      <w:ind w:left="1100"/>
    </w:pPr>
  </w:style>
  <w:style w:type="paragraph" w:styleId="910">
    <w:name w:val="toc 7"/>
    <w:basedOn w:val="916"/>
    <w:next w:val="916"/>
    <w:uiPriority w:val="39"/>
    <w:unhideWhenUsed/>
    <w:pPr>
      <w:pBdr/>
      <w:spacing w:after="100"/>
      <w:ind w:left="1320"/>
    </w:pPr>
  </w:style>
  <w:style w:type="paragraph" w:styleId="911">
    <w:name w:val="toc 8"/>
    <w:basedOn w:val="916"/>
    <w:next w:val="916"/>
    <w:uiPriority w:val="39"/>
    <w:unhideWhenUsed/>
    <w:pPr>
      <w:pBdr/>
      <w:spacing w:after="100"/>
      <w:ind w:left="1540"/>
    </w:pPr>
  </w:style>
  <w:style w:type="paragraph" w:styleId="912">
    <w:name w:val="toc 9"/>
    <w:basedOn w:val="916"/>
    <w:next w:val="916"/>
    <w:uiPriority w:val="39"/>
    <w:unhideWhenUsed/>
    <w:pPr>
      <w:pBdr/>
      <w:spacing w:after="100"/>
      <w:ind w:left="1760"/>
    </w:pPr>
  </w:style>
  <w:style w:type="character" w:styleId="913">
    <w:name w:val="Placeholder Text"/>
    <w:basedOn w:val="917"/>
    <w:uiPriority w:val="99"/>
    <w:semiHidden/>
    <w:pPr>
      <w:pBdr/>
      <w:spacing/>
      <w:ind/>
    </w:pPr>
    <w:rPr>
      <w:color w:val="666666"/>
    </w:rPr>
  </w:style>
  <w:style w:type="paragraph" w:styleId="914">
    <w:name w:val="TOC Heading"/>
    <w:uiPriority w:val="39"/>
    <w:unhideWhenUsed/>
    <w:pPr>
      <w:pBdr/>
      <w:spacing/>
      <w:ind/>
    </w:pPr>
  </w:style>
  <w:style w:type="paragraph" w:styleId="915">
    <w:name w:val="table of figures"/>
    <w:basedOn w:val="916"/>
    <w:next w:val="916"/>
    <w:uiPriority w:val="99"/>
    <w:unhideWhenUsed/>
    <w:pPr>
      <w:pBdr/>
      <w:spacing w:after="0" w:afterAutospacing="0"/>
      <w:ind/>
    </w:pPr>
  </w:style>
  <w:style w:type="paragraph" w:styleId="916" w:default="1">
    <w:name w:val="Normal"/>
    <w:qFormat/>
    <w:pPr>
      <w:pBdr/>
      <w:spacing/>
      <w:ind/>
    </w:pPr>
  </w:style>
  <w:style w:type="character" w:styleId="917" w:default="1">
    <w:name w:val="Default Paragraph Font"/>
    <w:uiPriority w:val="1"/>
    <w:semiHidden/>
    <w:unhideWhenUsed/>
    <w:pPr>
      <w:pBdr/>
      <w:spacing/>
      <w:ind/>
    </w:pPr>
  </w:style>
  <w:style w:type="table" w:styleId="91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9" w:default="1">
    <w:name w:val="No List"/>
    <w:uiPriority w:val="99"/>
    <w:semiHidden/>
    <w:unhideWhenUsed/>
    <w:pPr>
      <w:pBdr/>
      <w:spacing/>
      <w:ind/>
    </w:pPr>
  </w:style>
  <w:style w:type="table" w:styleId="920">
    <w:name w:val="Table Grid"/>
    <w:basedOn w:val="91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List Paragraph"/>
    <w:basedOn w:val="916"/>
    <w:uiPriority w:val="34"/>
    <w:qFormat/>
    <w:pPr>
      <w:pBdr/>
      <w:spacing/>
      <w:ind w:left="720"/>
      <w:contextualSpacing w:val="true"/>
    </w:pPr>
  </w:style>
  <w:style w:type="paragraph" w:styleId="922">
    <w:name w:val="Balloon Text"/>
    <w:basedOn w:val="916"/>
    <w:link w:val="923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23" w:customStyle="1">
    <w:name w:val="Текст выноски Знак"/>
    <w:basedOn w:val="917"/>
    <w:link w:val="92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4">
    <w:name w:val="Hyperlink"/>
    <w:basedOn w:val="917"/>
    <w:uiPriority w:val="99"/>
    <w:unhideWhenUsed/>
    <w:pPr>
      <w:pBdr/>
      <w:spacing/>
      <w:ind/>
    </w:pPr>
    <w:rPr>
      <w:color w:val="0000ff" w:themeColor="hyperlink"/>
      <w:u w:val="single"/>
    </w:rPr>
  </w:style>
  <w:style w:type="table" w:styleId="925" w:customStyle="1">
    <w:name w:val="Сетка таблицы1"/>
    <w:basedOn w:val="918"/>
    <w:next w:val="92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Сетка таблицы2"/>
    <w:basedOn w:val="918"/>
    <w:next w:val="92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vk.com/club149518038" TargetMode="External"/><Relationship Id="rId11" Type="http://schemas.openxmlformats.org/officeDocument/2006/relationships/hyperlink" Target="https://max.ru/join/8tdHaAF4VPZd9LMEtkUXQI8JUssI4vkiMNsHfHDM42A" TargetMode="External"/><Relationship Id="rId12" Type="http://schemas.openxmlformats.org/officeDocument/2006/relationships/hyperlink" Target="https://t.me/DGODruzhina" TargetMode="External"/><Relationship Id="rId13" Type="http://schemas.openxmlformats.org/officeDocument/2006/relationships/hyperlink" Target="http://dobrraion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51270-40F5-42DC-A1EC-513750CE7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revision>114</cp:revision>
  <dcterms:created xsi:type="dcterms:W3CDTF">2024-07-03T04:53:00Z</dcterms:created>
  <dcterms:modified xsi:type="dcterms:W3CDTF">2026-04-06T07:44:50Z</dcterms:modified>
</cp:coreProperties>
</file>