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9E" w:rsidRDefault="00647D9E" w:rsidP="00647D9E">
      <w:pPr>
        <w:ind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№ процедуры на https://torgi.gov.ru/new/ </w:t>
      </w:r>
      <w:r w:rsidR="00E76A36">
        <w:rPr>
          <w:color w:val="000000"/>
          <w:sz w:val="27"/>
          <w:szCs w:val="27"/>
        </w:rPr>
        <w:t>№</w:t>
      </w:r>
      <w:r w:rsidRPr="00647D9E">
        <w:rPr>
          <w:color w:val="000000"/>
          <w:sz w:val="27"/>
          <w:szCs w:val="27"/>
        </w:rPr>
        <w:t>21000023740000000091</w:t>
      </w:r>
      <w:r>
        <w:rPr>
          <w:color w:val="000000"/>
          <w:sz w:val="27"/>
          <w:szCs w:val="27"/>
        </w:rPr>
        <w:t xml:space="preserve"> </w:t>
      </w:r>
    </w:p>
    <w:p w:rsidR="00647D9E" w:rsidRDefault="00647D9E" w:rsidP="00647D9E">
      <w:pPr>
        <w:ind w:firstLine="709"/>
        <w:jc w:val="right"/>
        <w:rPr>
          <w:b/>
          <w:sz w:val="28"/>
          <w:szCs w:val="28"/>
        </w:rPr>
      </w:pPr>
      <w:r>
        <w:rPr>
          <w:color w:val="000000"/>
          <w:sz w:val="27"/>
          <w:szCs w:val="27"/>
        </w:rPr>
        <w:t xml:space="preserve">№ процедуры на https://utp.sberbank-ast.ru </w:t>
      </w:r>
      <w:r w:rsidR="000C64E4">
        <w:rPr>
          <w:color w:val="000000"/>
          <w:sz w:val="27"/>
          <w:szCs w:val="27"/>
        </w:rPr>
        <w:t>№</w:t>
      </w:r>
      <w:r w:rsidR="000C64E4" w:rsidRPr="000C64E4">
        <w:rPr>
          <w:color w:val="000000"/>
          <w:sz w:val="27"/>
          <w:szCs w:val="27"/>
        </w:rPr>
        <w:t>SBR012-2312010016</w:t>
      </w:r>
      <w:bookmarkStart w:id="0" w:name="_GoBack"/>
      <w:bookmarkEnd w:id="0"/>
    </w:p>
    <w:p w:rsidR="00647D9E" w:rsidRDefault="00647D9E" w:rsidP="009278A7">
      <w:pPr>
        <w:ind w:firstLine="709"/>
        <w:jc w:val="center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городской округ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0476AF" w:rsidRPr="000476AF">
        <w:rPr>
          <w:sz w:val="28"/>
          <w:szCs w:val="28"/>
        </w:rPr>
        <w:t>посредством публичного предложения с использованием открытой формы подачи предложений о приобретении имуществ</w:t>
      </w:r>
      <w:r w:rsidR="000476AF">
        <w:rPr>
          <w:sz w:val="28"/>
          <w:szCs w:val="28"/>
        </w:rPr>
        <w:t>а</w:t>
      </w:r>
      <w:r w:rsidR="000476AF" w:rsidRPr="000476AF">
        <w:rPr>
          <w:sz w:val="28"/>
          <w:szCs w:val="28"/>
        </w:rPr>
        <w:t xml:space="preserve"> </w:t>
      </w:r>
      <w:r w:rsidR="001A35DE" w:rsidRPr="000476AF">
        <w:rPr>
          <w:b/>
          <w:sz w:val="28"/>
          <w:szCs w:val="28"/>
        </w:rPr>
        <w:t>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30DD2" w:rsidRDefault="00A02751" w:rsidP="00E4061B">
      <w:pPr>
        <w:ind w:firstLine="709"/>
        <w:jc w:val="both"/>
        <w:rPr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="00E4061B" w:rsidRPr="00E4061B">
        <w:rPr>
          <w:sz w:val="28"/>
          <w:szCs w:val="28"/>
        </w:rPr>
        <w:t>Продажа имущества посредством публичного предложения с использованием открытой формы подачи предложений о приобретении имущества.</w:t>
      </w:r>
    </w:p>
    <w:p w:rsidR="00E4061B" w:rsidRDefault="00E4061B" w:rsidP="00E4061B">
      <w:pPr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A30069">
        <w:rPr>
          <w:rFonts w:eastAsia="Courier New"/>
          <w:b/>
          <w:color w:val="000000"/>
          <w:sz w:val="28"/>
          <w:szCs w:val="28"/>
          <w:lang w:bidi="ru-RU"/>
        </w:rPr>
        <w:t>п</w:t>
      </w:r>
      <w:r w:rsidR="00A30069" w:rsidRPr="00A30069">
        <w:rPr>
          <w:rFonts w:eastAsia="Courier New"/>
          <w:b/>
          <w:color w:val="000000"/>
          <w:sz w:val="28"/>
          <w:szCs w:val="28"/>
          <w:lang w:bidi="ru-RU"/>
        </w:rPr>
        <w:t>родажа имущества посредством публичного предложения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 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</w:t>
      </w:r>
      <w:r w:rsidRPr="000B2C16">
        <w:rPr>
          <w:bCs/>
          <w:sz w:val="28"/>
          <w:szCs w:val="28"/>
          <w:lang w:bidi="ru-RU"/>
        </w:rPr>
        <w:lastRenderedPageBreak/>
        <w:t xml:space="preserve">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>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A30069" w:rsidRDefault="00A30069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A30069" w:rsidRDefault="00A30069" w:rsidP="00A30069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>
        <w:rPr>
          <w:rFonts w:eastAsia="Courier New"/>
          <w:b/>
          <w:sz w:val="28"/>
          <w:szCs w:val="28"/>
          <w:lang w:bidi="ru-RU"/>
        </w:rPr>
        <w:t>ах приватизации</w:t>
      </w:r>
    </w:p>
    <w:p w:rsidR="00A30069" w:rsidRPr="00DA53DD" w:rsidRDefault="00A30069" w:rsidP="00A3006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>
        <w:rPr>
          <w:sz w:val="28"/>
          <w:szCs w:val="28"/>
        </w:rPr>
        <w:t xml:space="preserve">Думы Добрянского городского </w:t>
      </w:r>
      <w:r w:rsidR="00716075">
        <w:rPr>
          <w:sz w:val="28"/>
          <w:szCs w:val="28"/>
        </w:rPr>
        <w:t xml:space="preserve">округа </w:t>
      </w:r>
      <w:r w:rsidRPr="001A35D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1A35DE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1A35DE">
        <w:rPr>
          <w:sz w:val="28"/>
          <w:szCs w:val="28"/>
        </w:rPr>
        <w:t>бря 20</w:t>
      </w:r>
      <w:r>
        <w:rPr>
          <w:sz w:val="28"/>
          <w:szCs w:val="28"/>
        </w:rPr>
        <w:t>22</w:t>
      </w:r>
      <w:r w:rsidRPr="001A35D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726</w:t>
      </w:r>
      <w:r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>
        <w:rPr>
          <w:sz w:val="28"/>
          <w:szCs w:val="28"/>
        </w:rPr>
        <w:t>3</w:t>
      </w:r>
      <w:r w:rsidRPr="001A35DE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городского округа </w:t>
      </w:r>
      <w:r w:rsidRPr="00303B7F">
        <w:rPr>
          <w:sz w:val="28"/>
          <w:szCs w:val="28"/>
        </w:rPr>
        <w:t xml:space="preserve">от </w:t>
      </w:r>
      <w:r w:rsidR="0059483A" w:rsidRPr="0059483A">
        <w:rPr>
          <w:sz w:val="28"/>
          <w:szCs w:val="28"/>
        </w:rPr>
        <w:t>30</w:t>
      </w:r>
      <w:r w:rsidRPr="0059483A">
        <w:rPr>
          <w:sz w:val="28"/>
          <w:szCs w:val="28"/>
        </w:rPr>
        <w:t xml:space="preserve"> </w:t>
      </w:r>
      <w:r w:rsidR="0059483A" w:rsidRPr="0059483A">
        <w:rPr>
          <w:sz w:val="28"/>
          <w:szCs w:val="28"/>
        </w:rPr>
        <w:t>ноября</w:t>
      </w:r>
      <w:r w:rsidRPr="0059483A">
        <w:rPr>
          <w:sz w:val="28"/>
          <w:szCs w:val="28"/>
        </w:rPr>
        <w:t xml:space="preserve"> 2023 г. № </w:t>
      </w:r>
      <w:r w:rsidR="0059483A" w:rsidRPr="0059483A">
        <w:rPr>
          <w:sz w:val="28"/>
          <w:szCs w:val="28"/>
        </w:rPr>
        <w:t>4039</w:t>
      </w:r>
      <w:r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423766" w:rsidRPr="00423766" w:rsidRDefault="00FE3E3B" w:rsidP="00833F11">
      <w:pPr>
        <w:suppressAutoHyphens w:val="0"/>
        <w:ind w:firstLine="709"/>
        <w:jc w:val="both"/>
        <w:rPr>
          <w:sz w:val="28"/>
          <w:szCs w:val="28"/>
        </w:rPr>
      </w:pPr>
      <w:r w:rsidRPr="000B194F">
        <w:rPr>
          <w:b/>
          <w:sz w:val="28"/>
          <w:szCs w:val="28"/>
        </w:rPr>
        <w:t>Лот 1</w:t>
      </w:r>
      <w:r w:rsidR="009E51E5">
        <w:rPr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423766" w:rsidRPr="00423766">
        <w:rPr>
          <w:sz w:val="28"/>
          <w:szCs w:val="28"/>
        </w:rPr>
        <w:t>Автобус специальный для перевозки детей, ГАЗ322171, год изготовления 2012, модель, № двигателя - *421600*С1103247*, идентификационный номер (VIN) X96322171С0741605, номер кузова 322121С0518390, цвет кузова - желтый, государственный регистрационный знак В529ОМ159.</w:t>
      </w:r>
    </w:p>
    <w:p w:rsidR="00833F11" w:rsidRPr="00833F11" w:rsidRDefault="00833F11" w:rsidP="00833F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F11">
        <w:rPr>
          <w:b/>
          <w:sz w:val="28"/>
          <w:szCs w:val="28"/>
          <w:lang w:eastAsia="ru-RU"/>
        </w:rPr>
        <w:t xml:space="preserve">Цена первоначального предложения (с НДС) </w:t>
      </w:r>
      <w:r w:rsidRPr="00833F11">
        <w:rPr>
          <w:sz w:val="28"/>
          <w:szCs w:val="28"/>
          <w:lang w:eastAsia="ru-RU"/>
        </w:rPr>
        <w:t>– 168 300 (сто шестьдесят восемь тысяч триста) рублей 00 копеек;</w:t>
      </w:r>
    </w:p>
    <w:p w:rsidR="00833F11" w:rsidRPr="00833F11" w:rsidRDefault="00833F11" w:rsidP="00833F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F11">
        <w:rPr>
          <w:b/>
          <w:sz w:val="28"/>
          <w:szCs w:val="28"/>
          <w:lang w:eastAsia="ru-RU"/>
        </w:rPr>
        <w:t xml:space="preserve">Величина снижения цены первоначального предложения («шаг понижения») </w:t>
      </w:r>
      <w:r w:rsidRPr="00833F11">
        <w:rPr>
          <w:sz w:val="28"/>
          <w:szCs w:val="28"/>
          <w:lang w:eastAsia="ru-RU"/>
        </w:rPr>
        <w:t>– 16 830 (шестнадцать тысяч восемьсот тридцать) рублей 00 копеек;</w:t>
      </w:r>
    </w:p>
    <w:p w:rsidR="00833F11" w:rsidRPr="00833F11" w:rsidRDefault="00833F11" w:rsidP="00833F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F11">
        <w:rPr>
          <w:b/>
          <w:sz w:val="28"/>
          <w:szCs w:val="28"/>
          <w:lang w:eastAsia="ru-RU"/>
        </w:rPr>
        <w:t>Величина повышения цены в случае проведения аукциона («шаг аукциона»)</w:t>
      </w:r>
      <w:r w:rsidRPr="00833F11">
        <w:rPr>
          <w:sz w:val="28"/>
          <w:szCs w:val="28"/>
          <w:lang w:eastAsia="ru-RU"/>
        </w:rPr>
        <w:t xml:space="preserve"> – 8 415 (восемь тысяч четыреста пятнадцать) рублей 00 копеек;</w:t>
      </w:r>
    </w:p>
    <w:p w:rsidR="00833F11" w:rsidRPr="00833F11" w:rsidRDefault="00833F11" w:rsidP="00833F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F11">
        <w:rPr>
          <w:b/>
          <w:sz w:val="28"/>
          <w:szCs w:val="28"/>
          <w:lang w:eastAsia="ru-RU"/>
        </w:rPr>
        <w:t>Минимальная цена предложения, по которой может быть продано имущество («цена отсечения»)</w:t>
      </w:r>
      <w:r w:rsidRPr="00833F11">
        <w:rPr>
          <w:sz w:val="28"/>
          <w:szCs w:val="28"/>
          <w:lang w:eastAsia="ru-RU"/>
        </w:rPr>
        <w:t xml:space="preserve"> – 84 150 (восемьдесят четыре тысячи сто пятьдесят) рублей 00 копеек.</w:t>
      </w:r>
    </w:p>
    <w:p w:rsidR="00423766" w:rsidRDefault="00423766" w:rsidP="00423766">
      <w:pPr>
        <w:ind w:firstLine="709"/>
        <w:jc w:val="both"/>
        <w:rPr>
          <w:b/>
          <w:sz w:val="28"/>
          <w:szCs w:val="28"/>
        </w:rPr>
      </w:pPr>
    </w:p>
    <w:p w:rsidR="00423766" w:rsidRPr="00503579" w:rsidRDefault="00423766" w:rsidP="00423766">
      <w:pPr>
        <w:ind w:firstLine="709"/>
        <w:jc w:val="both"/>
        <w:rPr>
          <w:sz w:val="28"/>
          <w:szCs w:val="28"/>
        </w:rPr>
      </w:pPr>
      <w:r w:rsidRPr="00A47DFF">
        <w:rPr>
          <w:b/>
          <w:sz w:val="28"/>
          <w:szCs w:val="28"/>
        </w:rPr>
        <w:t xml:space="preserve">Лот </w:t>
      </w:r>
      <w:r w:rsidR="00833F11">
        <w:rPr>
          <w:b/>
          <w:sz w:val="28"/>
          <w:szCs w:val="28"/>
        </w:rPr>
        <w:t>2</w:t>
      </w:r>
      <w:r w:rsidRPr="00A47DFF">
        <w:rPr>
          <w:b/>
          <w:sz w:val="28"/>
          <w:szCs w:val="28"/>
        </w:rPr>
        <w:t>:</w:t>
      </w:r>
      <w:r w:rsidRPr="00A47DFF">
        <w:rPr>
          <w:sz w:val="28"/>
          <w:szCs w:val="28"/>
        </w:rPr>
        <w:t xml:space="preserve"> </w:t>
      </w:r>
      <w:r w:rsidRPr="00503579">
        <w:rPr>
          <w:sz w:val="28"/>
          <w:szCs w:val="28"/>
        </w:rPr>
        <w:t>Автобус (длинной менее 5 м.), ГАЗ322132, год изготовления 2012, модель, № двигателя – 421600*С0902922, идентификационный номер (VIN) X96322132С0736229, номер кузова 322100С0512887, цвет кузова - желтый, государственный регистрационный знак В218ОМ159.</w:t>
      </w:r>
    </w:p>
    <w:p w:rsidR="00833F11" w:rsidRPr="00833F11" w:rsidRDefault="00833F11" w:rsidP="00833F11">
      <w:pPr>
        <w:ind w:firstLine="709"/>
        <w:jc w:val="both"/>
        <w:rPr>
          <w:b/>
          <w:sz w:val="28"/>
          <w:szCs w:val="28"/>
        </w:rPr>
      </w:pPr>
      <w:r w:rsidRPr="00833F11">
        <w:rPr>
          <w:b/>
          <w:sz w:val="28"/>
          <w:szCs w:val="28"/>
        </w:rPr>
        <w:t xml:space="preserve">Цена первоначального предложения (с НДС) – </w:t>
      </w:r>
      <w:r w:rsidRPr="00833F11">
        <w:rPr>
          <w:sz w:val="28"/>
          <w:szCs w:val="28"/>
        </w:rPr>
        <w:t>162 400 (сто шестьдесят две тысячи четыреста) рублей 00 копеек;</w:t>
      </w:r>
    </w:p>
    <w:p w:rsidR="00833F11" w:rsidRPr="00833F11" w:rsidRDefault="00833F11" w:rsidP="00833F11">
      <w:pPr>
        <w:ind w:firstLine="709"/>
        <w:jc w:val="both"/>
        <w:rPr>
          <w:b/>
          <w:sz w:val="28"/>
          <w:szCs w:val="28"/>
        </w:rPr>
      </w:pPr>
      <w:r w:rsidRPr="00833F11">
        <w:rPr>
          <w:b/>
          <w:sz w:val="28"/>
          <w:szCs w:val="28"/>
        </w:rPr>
        <w:lastRenderedPageBreak/>
        <w:t xml:space="preserve">Величина снижения цены первоначального предложения («шаг понижения») – </w:t>
      </w:r>
      <w:r w:rsidRPr="00833F11">
        <w:rPr>
          <w:sz w:val="28"/>
          <w:szCs w:val="28"/>
        </w:rPr>
        <w:t>16 240 (шестнадцать тысяч двести сорок) рублей 00 копеек;</w:t>
      </w:r>
    </w:p>
    <w:p w:rsidR="00833F11" w:rsidRPr="00833F11" w:rsidRDefault="00833F11" w:rsidP="00833F11">
      <w:pPr>
        <w:ind w:firstLine="709"/>
        <w:jc w:val="both"/>
        <w:rPr>
          <w:b/>
          <w:sz w:val="28"/>
          <w:szCs w:val="28"/>
        </w:rPr>
      </w:pPr>
      <w:r w:rsidRPr="00833F11">
        <w:rPr>
          <w:b/>
          <w:sz w:val="28"/>
          <w:szCs w:val="28"/>
        </w:rPr>
        <w:t xml:space="preserve">Величина повышения цены в случае проведения аукциона («шаг аукциона») – </w:t>
      </w:r>
      <w:r w:rsidRPr="00833F11">
        <w:rPr>
          <w:sz w:val="28"/>
          <w:szCs w:val="28"/>
        </w:rPr>
        <w:t>8 120 (восемь тысяч сто двадцать) рублей 00 копеек;</w:t>
      </w:r>
    </w:p>
    <w:p w:rsidR="00423766" w:rsidRPr="006D2000" w:rsidRDefault="00833F11" w:rsidP="00833F11">
      <w:pPr>
        <w:ind w:firstLine="709"/>
        <w:jc w:val="both"/>
        <w:rPr>
          <w:b/>
          <w:i/>
          <w:sz w:val="28"/>
          <w:szCs w:val="28"/>
        </w:rPr>
      </w:pPr>
      <w:r w:rsidRPr="00833F11">
        <w:rPr>
          <w:b/>
          <w:sz w:val="28"/>
          <w:szCs w:val="28"/>
        </w:rPr>
        <w:t xml:space="preserve">Минимальная цена предложения, по которой может быть продано имущество («цена отсечения») – </w:t>
      </w:r>
      <w:r w:rsidRPr="00833F11">
        <w:rPr>
          <w:sz w:val="28"/>
          <w:szCs w:val="28"/>
        </w:rPr>
        <w:t>81 200 (восемьдесят одна тысяча двести) рублей 00 копеек.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13"/>
        <w:gridCol w:w="1836"/>
        <w:gridCol w:w="1958"/>
        <w:gridCol w:w="1951"/>
        <w:gridCol w:w="1662"/>
      </w:tblGrid>
      <w:tr w:rsidR="00833F11" w:rsidRPr="00833F11" w:rsidTr="00C62EF6">
        <w:tc>
          <w:tcPr>
            <w:tcW w:w="840" w:type="dxa"/>
            <w:vAlign w:val="center"/>
          </w:tcPr>
          <w:p w:rsidR="00833F11" w:rsidRPr="00833F11" w:rsidRDefault="00833F11" w:rsidP="00833F11">
            <w:pPr>
              <w:jc w:val="center"/>
              <w:rPr>
                <w:rFonts w:eastAsia="Courier New"/>
                <w:color w:val="000000"/>
                <w:lang w:bidi="ru-RU"/>
              </w:rPr>
            </w:pPr>
            <w:r w:rsidRPr="00833F11">
              <w:rPr>
                <w:rFonts w:eastAsia="Courier New"/>
                <w:color w:val="000000"/>
                <w:lang w:bidi="ru-RU"/>
              </w:rPr>
              <w:t>Лот №</w:t>
            </w:r>
          </w:p>
        </w:tc>
        <w:tc>
          <w:tcPr>
            <w:tcW w:w="1820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lang w:val="x-none" w:eastAsia="x-none" w:bidi="ru-RU"/>
              </w:rPr>
            </w:pPr>
            <w:r w:rsidRPr="00833F11">
              <w:rPr>
                <w:lang w:val="x-none" w:eastAsia="x-none"/>
              </w:rPr>
              <w:t xml:space="preserve">Начальная цена продажи </w:t>
            </w:r>
            <w:r w:rsidRPr="00833F11">
              <w:rPr>
                <w:lang w:eastAsia="x-none"/>
              </w:rPr>
              <w:t xml:space="preserve">муниципального имущества </w:t>
            </w:r>
            <w:r w:rsidRPr="00833F11">
              <w:rPr>
                <w:lang w:val="x-none" w:eastAsia="x-none"/>
              </w:rPr>
              <w:t>(с НДС)</w:t>
            </w:r>
          </w:p>
        </w:tc>
        <w:tc>
          <w:tcPr>
            <w:tcW w:w="1843" w:type="dxa"/>
          </w:tcPr>
          <w:p w:rsidR="00833F11" w:rsidRPr="00833F11" w:rsidRDefault="00833F11" w:rsidP="00833F11">
            <w:pPr>
              <w:suppressAutoHyphens w:val="0"/>
              <w:jc w:val="center"/>
              <w:rPr>
                <w:lang w:eastAsia="ru-RU"/>
              </w:rPr>
            </w:pPr>
            <w:r w:rsidRPr="00833F11">
              <w:rPr>
                <w:lang w:eastAsia="ru-RU"/>
              </w:rPr>
              <w:t>Величина снижения цены первоначального предложения («Шаг понижения») (10 % от начальной цены)</w:t>
            </w:r>
          </w:p>
        </w:tc>
        <w:tc>
          <w:tcPr>
            <w:tcW w:w="1984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val="x-none" w:eastAsia="x-none"/>
              </w:rPr>
            </w:pPr>
            <w:r w:rsidRPr="00833F11">
              <w:rPr>
                <w:lang w:val="x-none" w:eastAsia="x-none"/>
              </w:rPr>
              <w:t>Величина повышения цены в случае проведения аукциона («Шаг аукциона»)</w:t>
            </w:r>
          </w:p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lang w:val="x-none" w:eastAsia="x-none" w:bidi="ru-RU"/>
              </w:rPr>
            </w:pPr>
            <w:r w:rsidRPr="00833F11">
              <w:rPr>
                <w:lang w:val="x-none" w:eastAsia="x-none"/>
              </w:rPr>
              <w:t>(50 % от «Шага понижения»)</w:t>
            </w:r>
          </w:p>
        </w:tc>
        <w:tc>
          <w:tcPr>
            <w:tcW w:w="1968" w:type="dxa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lang w:eastAsia="x-none"/>
              </w:rPr>
              <w:t>Минимальная цена предложения, по которой может быть продано муниципальное имущество («Цена отсечения»)</w:t>
            </w:r>
          </w:p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lang w:eastAsia="x-none"/>
              </w:rPr>
              <w:t>(не более 50 % от начальной цены)</w:t>
            </w:r>
          </w:p>
        </w:tc>
        <w:tc>
          <w:tcPr>
            <w:tcW w:w="1682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lang w:eastAsia="x-none"/>
              </w:rPr>
              <w:t>Размер задатка</w:t>
            </w:r>
          </w:p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i/>
                <w:lang w:val="x-none" w:eastAsia="x-none"/>
              </w:rPr>
              <w:t>(</w:t>
            </w:r>
            <w:r w:rsidRPr="00833F11">
              <w:rPr>
                <w:i/>
                <w:lang w:eastAsia="x-none"/>
              </w:rPr>
              <w:t>1</w:t>
            </w:r>
            <w:r w:rsidRPr="00833F11">
              <w:rPr>
                <w:i/>
                <w:lang w:val="x-none" w:eastAsia="x-none"/>
              </w:rPr>
              <w:t>0 % начальной цены)</w:t>
            </w:r>
          </w:p>
        </w:tc>
      </w:tr>
      <w:tr w:rsidR="00833F11" w:rsidRPr="00833F11" w:rsidTr="00C62EF6">
        <w:tc>
          <w:tcPr>
            <w:tcW w:w="840" w:type="dxa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Лот 1</w:t>
            </w:r>
          </w:p>
        </w:tc>
        <w:tc>
          <w:tcPr>
            <w:tcW w:w="1820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168 300,00</w:t>
            </w:r>
          </w:p>
        </w:tc>
        <w:tc>
          <w:tcPr>
            <w:tcW w:w="1843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16 830,00</w:t>
            </w:r>
          </w:p>
        </w:tc>
        <w:tc>
          <w:tcPr>
            <w:tcW w:w="1984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8 415,00</w:t>
            </w:r>
          </w:p>
        </w:tc>
        <w:tc>
          <w:tcPr>
            <w:tcW w:w="1968" w:type="dxa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84 150,00</w:t>
            </w:r>
          </w:p>
        </w:tc>
        <w:tc>
          <w:tcPr>
            <w:tcW w:w="1682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16 830,00</w:t>
            </w:r>
          </w:p>
        </w:tc>
      </w:tr>
      <w:tr w:rsidR="00833F11" w:rsidRPr="00833F11" w:rsidTr="00C62EF6">
        <w:tc>
          <w:tcPr>
            <w:tcW w:w="840" w:type="dxa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Лот 2</w:t>
            </w:r>
          </w:p>
        </w:tc>
        <w:tc>
          <w:tcPr>
            <w:tcW w:w="1820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162 400,00</w:t>
            </w:r>
          </w:p>
        </w:tc>
        <w:tc>
          <w:tcPr>
            <w:tcW w:w="1843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16 240,00</w:t>
            </w:r>
          </w:p>
        </w:tc>
        <w:tc>
          <w:tcPr>
            <w:tcW w:w="1984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8 120,00</w:t>
            </w:r>
          </w:p>
        </w:tc>
        <w:tc>
          <w:tcPr>
            <w:tcW w:w="1968" w:type="dxa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81 200,00</w:t>
            </w:r>
          </w:p>
        </w:tc>
        <w:tc>
          <w:tcPr>
            <w:tcW w:w="1682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33F11">
              <w:rPr>
                <w:sz w:val="24"/>
                <w:szCs w:val="24"/>
                <w:lang w:eastAsia="x-none"/>
              </w:rPr>
              <w:t>16 240,00</w:t>
            </w:r>
          </w:p>
        </w:tc>
      </w:tr>
    </w:tbl>
    <w:p w:rsidR="00A47DFF" w:rsidRPr="006D2000" w:rsidRDefault="00A47DFF" w:rsidP="00A47DFF">
      <w:pPr>
        <w:pStyle w:val="a4"/>
        <w:rPr>
          <w:b/>
          <w:i/>
          <w:sz w:val="28"/>
          <w:szCs w:val="28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на участие в </w:t>
      </w:r>
      <w:r w:rsidR="00393B37">
        <w:rPr>
          <w:sz w:val="28"/>
          <w:szCs w:val="28"/>
        </w:rPr>
        <w:t>торгах</w:t>
      </w:r>
      <w:r w:rsidRPr="00E15D3C">
        <w:rPr>
          <w:sz w:val="28"/>
          <w:szCs w:val="28"/>
        </w:rPr>
        <w:t xml:space="preserve">: </w:t>
      </w:r>
      <w:r w:rsidR="00AC7447">
        <w:rPr>
          <w:sz w:val="28"/>
          <w:szCs w:val="28"/>
        </w:rPr>
        <w:t>1</w:t>
      </w:r>
      <w:r w:rsidR="00AE68C7">
        <w:rPr>
          <w:sz w:val="28"/>
          <w:szCs w:val="28"/>
        </w:rPr>
        <w:t>5</w:t>
      </w:r>
      <w:r w:rsidRPr="00E15D3C">
        <w:rPr>
          <w:sz w:val="28"/>
          <w:szCs w:val="28"/>
        </w:rPr>
        <w:t xml:space="preserve"> </w:t>
      </w:r>
      <w:r w:rsidR="00AE68C7">
        <w:rPr>
          <w:sz w:val="28"/>
          <w:szCs w:val="28"/>
        </w:rPr>
        <w:t>декабря</w:t>
      </w:r>
      <w:r w:rsidRPr="00E15D3C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Pr="00E15D3C">
        <w:rPr>
          <w:sz w:val="28"/>
          <w:szCs w:val="28"/>
        </w:rPr>
        <w:t xml:space="preserve"> г., в 10:00 по местному времени (08:00 МСК).</w:t>
      </w:r>
    </w:p>
    <w:p w:rsidR="00D46500" w:rsidRPr="00E15D3C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: </w:t>
      </w:r>
      <w:r w:rsidR="00423766">
        <w:rPr>
          <w:sz w:val="28"/>
          <w:szCs w:val="28"/>
        </w:rPr>
        <w:t>1</w:t>
      </w:r>
      <w:r w:rsidR="00AE68C7">
        <w:rPr>
          <w:sz w:val="28"/>
          <w:szCs w:val="28"/>
        </w:rPr>
        <w:t>5</w:t>
      </w:r>
      <w:r w:rsidRPr="00E74F48">
        <w:rPr>
          <w:sz w:val="28"/>
          <w:szCs w:val="28"/>
        </w:rPr>
        <w:t xml:space="preserve"> </w:t>
      </w:r>
      <w:r w:rsidR="00AE68C7">
        <w:rPr>
          <w:sz w:val="28"/>
          <w:szCs w:val="28"/>
        </w:rPr>
        <w:t>января</w:t>
      </w:r>
      <w:r w:rsidRPr="00E74F48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AE68C7">
        <w:rPr>
          <w:sz w:val="28"/>
          <w:szCs w:val="28"/>
        </w:rPr>
        <w:t>4</w:t>
      </w:r>
      <w:r w:rsidRPr="00E74F48">
        <w:rPr>
          <w:sz w:val="28"/>
          <w:szCs w:val="28"/>
        </w:rPr>
        <w:t xml:space="preserve"> г., в </w:t>
      </w:r>
      <w:r w:rsidR="00EB68F9">
        <w:rPr>
          <w:sz w:val="28"/>
          <w:szCs w:val="28"/>
        </w:rPr>
        <w:t>2</w:t>
      </w:r>
      <w:r w:rsidR="00A759F7">
        <w:rPr>
          <w:sz w:val="28"/>
          <w:szCs w:val="28"/>
        </w:rPr>
        <w:t>2</w:t>
      </w:r>
      <w:r w:rsidR="00EB68F9">
        <w:rPr>
          <w:sz w:val="28"/>
          <w:szCs w:val="28"/>
        </w:rPr>
        <w:t>:00 по местному времени (</w:t>
      </w:r>
      <w:r w:rsidR="00A759F7">
        <w:rPr>
          <w:sz w:val="28"/>
          <w:szCs w:val="28"/>
        </w:rPr>
        <w:t>20</w:t>
      </w:r>
      <w:r w:rsidRPr="00E74F48">
        <w:rPr>
          <w:sz w:val="28"/>
          <w:szCs w:val="28"/>
        </w:rPr>
        <w:t>:00 МСК).</w:t>
      </w:r>
    </w:p>
    <w:p w:rsidR="00D46500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</w:t>
      </w:r>
      <w:r w:rsidR="00EB68F9">
        <w:rPr>
          <w:b/>
          <w:sz w:val="28"/>
          <w:szCs w:val="28"/>
        </w:rPr>
        <w:t xml:space="preserve"> рассмотрения заявок и признания претендентов участниками</w:t>
      </w:r>
      <w:r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 xml:space="preserve">торгов: </w:t>
      </w:r>
      <w:r w:rsidR="0098781B">
        <w:rPr>
          <w:sz w:val="28"/>
          <w:szCs w:val="28"/>
        </w:rPr>
        <w:t>1</w:t>
      </w:r>
      <w:r w:rsidR="00AE68C7">
        <w:rPr>
          <w:sz w:val="28"/>
          <w:szCs w:val="28"/>
        </w:rPr>
        <w:t>6</w:t>
      </w:r>
      <w:r w:rsidR="00182550">
        <w:rPr>
          <w:sz w:val="28"/>
          <w:szCs w:val="28"/>
        </w:rPr>
        <w:t xml:space="preserve"> </w:t>
      </w:r>
      <w:r w:rsidR="00AE68C7">
        <w:rPr>
          <w:sz w:val="28"/>
          <w:szCs w:val="28"/>
        </w:rPr>
        <w:t>января</w:t>
      </w:r>
      <w:r w:rsidR="007A4FB9">
        <w:rPr>
          <w:sz w:val="28"/>
          <w:szCs w:val="28"/>
        </w:rPr>
        <w:t xml:space="preserve"> 202</w:t>
      </w:r>
      <w:r w:rsidR="00AE68C7">
        <w:rPr>
          <w:sz w:val="28"/>
          <w:szCs w:val="28"/>
        </w:rPr>
        <w:t>4</w:t>
      </w:r>
      <w:r w:rsidR="007A4FB9">
        <w:rPr>
          <w:sz w:val="28"/>
          <w:szCs w:val="28"/>
        </w:rPr>
        <w:t xml:space="preserve"> г.</w:t>
      </w:r>
    </w:p>
    <w:p w:rsidR="00D46500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393B37">
        <w:rPr>
          <w:b/>
          <w:sz w:val="28"/>
          <w:szCs w:val="28"/>
        </w:rPr>
        <w:t>торгов</w:t>
      </w:r>
      <w:r w:rsidR="00A0035C">
        <w:rPr>
          <w:b/>
          <w:sz w:val="28"/>
          <w:szCs w:val="28"/>
        </w:rPr>
        <w:t xml:space="preserve"> </w:t>
      </w:r>
      <w:r w:rsidR="00A0035C" w:rsidRPr="00A0035C">
        <w:rPr>
          <w:sz w:val="28"/>
          <w:szCs w:val="28"/>
        </w:rPr>
        <w:t>(дата и время начала приема предложений от участников)</w:t>
      </w:r>
      <w:r w:rsidR="00393B37">
        <w:rPr>
          <w:sz w:val="28"/>
          <w:szCs w:val="28"/>
        </w:rPr>
        <w:t>:</w:t>
      </w:r>
      <w:r w:rsidRPr="00A0035C"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>1</w:t>
      </w:r>
      <w:r w:rsidR="00AE68C7">
        <w:rPr>
          <w:sz w:val="28"/>
          <w:szCs w:val="28"/>
        </w:rPr>
        <w:t>8</w:t>
      </w:r>
      <w:r w:rsidR="00393B37">
        <w:rPr>
          <w:sz w:val="28"/>
          <w:szCs w:val="28"/>
        </w:rPr>
        <w:t xml:space="preserve"> </w:t>
      </w:r>
      <w:r w:rsidR="00423766">
        <w:rPr>
          <w:sz w:val="28"/>
          <w:szCs w:val="28"/>
        </w:rPr>
        <w:t>я</w:t>
      </w:r>
      <w:r w:rsidR="00AE68C7">
        <w:rPr>
          <w:sz w:val="28"/>
          <w:szCs w:val="28"/>
        </w:rPr>
        <w:t>нваря</w:t>
      </w:r>
      <w:r w:rsidR="007A4FB9">
        <w:rPr>
          <w:sz w:val="28"/>
          <w:szCs w:val="28"/>
        </w:rPr>
        <w:t xml:space="preserve"> </w:t>
      </w:r>
      <w:r w:rsidRPr="00A0035C">
        <w:rPr>
          <w:sz w:val="28"/>
          <w:szCs w:val="28"/>
        </w:rPr>
        <w:t>20</w:t>
      </w:r>
      <w:r w:rsidR="007A4FB9">
        <w:rPr>
          <w:sz w:val="28"/>
          <w:szCs w:val="28"/>
        </w:rPr>
        <w:t>2</w:t>
      </w:r>
      <w:r w:rsidR="00AE68C7">
        <w:rPr>
          <w:sz w:val="28"/>
          <w:szCs w:val="28"/>
        </w:rPr>
        <w:t>4</w:t>
      </w:r>
      <w:r w:rsidRPr="00E74F48">
        <w:rPr>
          <w:sz w:val="28"/>
          <w:szCs w:val="28"/>
        </w:rPr>
        <w:t xml:space="preserve">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 xml:space="preserve">роцедура </w:t>
      </w:r>
      <w:r w:rsidR="00393B37">
        <w:rPr>
          <w:sz w:val="28"/>
          <w:szCs w:val="28"/>
        </w:rPr>
        <w:t>торгов</w:t>
      </w:r>
      <w:r w:rsidR="00A02751" w:rsidRPr="00A02751">
        <w:rPr>
          <w:sz w:val="28"/>
          <w:szCs w:val="28"/>
        </w:rPr>
        <w:t xml:space="preserve"> считается завершенной со времени подписания</w:t>
      </w:r>
      <w:r w:rsidR="00393B37">
        <w:rPr>
          <w:sz w:val="28"/>
          <w:szCs w:val="28"/>
        </w:rPr>
        <w:t xml:space="preserve"> продавцом протокола об итогах торгов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>
        <w:rPr>
          <w:sz w:val="28"/>
          <w:szCs w:val="28"/>
          <w:lang w:eastAsia="ru-RU"/>
        </w:rPr>
        <w:t>учредительные документы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</w:t>
      </w:r>
      <w:r w:rsidRPr="002925F8">
        <w:rPr>
          <w:sz w:val="28"/>
          <w:szCs w:val="28"/>
          <w:lang w:eastAsia="ru-RU"/>
        </w:rPr>
        <w:lastRenderedPageBreak/>
        <w:t>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Pr="00D46500">
        <w:rPr>
          <w:sz w:val="28"/>
          <w:szCs w:val="28"/>
          <w:lang w:eastAsia="ru-RU"/>
        </w:rPr>
        <w:t xml:space="preserve"> предъявляют документ, удостоверяющий личность (все</w:t>
      </w:r>
      <w:r w:rsidRPr="002925F8">
        <w:rPr>
          <w:sz w:val="28"/>
          <w:szCs w:val="28"/>
          <w:lang w:eastAsia="ru-RU"/>
        </w:rPr>
        <w:t xml:space="preserve"> его лист</w:t>
      </w:r>
      <w:r>
        <w:rPr>
          <w:sz w:val="28"/>
          <w:szCs w:val="28"/>
          <w:lang w:eastAsia="ru-RU"/>
        </w:rPr>
        <w:t>ы)</w:t>
      </w:r>
      <w:r w:rsidRPr="002925F8">
        <w:rPr>
          <w:sz w:val="28"/>
          <w:szCs w:val="28"/>
          <w:lang w:eastAsia="ru-RU"/>
        </w:rPr>
        <w:t>.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98781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5065AD" w:rsidRPr="005065AD">
        <w:rPr>
          <w:bCs/>
          <w:color w:val="000000"/>
          <w:sz w:val="28"/>
          <w:szCs w:val="28"/>
          <w:lang w:bidi="ru-RU"/>
        </w:rPr>
        <w:t xml:space="preserve">первоначального предложения </w:t>
      </w:r>
      <w:r w:rsidRPr="00933C70">
        <w:rPr>
          <w:bCs/>
          <w:color w:val="000000"/>
          <w:sz w:val="28"/>
          <w:szCs w:val="28"/>
          <w:lang w:bidi="ru-RU"/>
        </w:rPr>
        <w:t>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lastRenderedPageBreak/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</w:t>
      </w:r>
      <w:r w:rsidR="0098781B">
        <w:rPr>
          <w:b/>
          <w:sz w:val="28"/>
          <w:szCs w:val="28"/>
        </w:rPr>
        <w:t>продаже посредством публичного предложения</w:t>
      </w:r>
      <w:r w:rsidR="00F53D16" w:rsidRPr="006165C5">
        <w:rPr>
          <w:b/>
          <w:sz w:val="28"/>
          <w:szCs w:val="28"/>
        </w:rPr>
        <w:t xml:space="preserve">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20:00 по местному времени (18:00 МСК)</w:t>
      </w:r>
      <w:r w:rsidRPr="0031255C">
        <w:rPr>
          <w:sz w:val="28"/>
          <w:szCs w:val="28"/>
        </w:rPr>
        <w:t xml:space="preserve"> </w:t>
      </w:r>
      <w:r w:rsidR="00423766">
        <w:rPr>
          <w:sz w:val="28"/>
          <w:szCs w:val="28"/>
        </w:rPr>
        <w:t>1</w:t>
      </w:r>
      <w:r w:rsidR="00A33D99">
        <w:rPr>
          <w:sz w:val="28"/>
          <w:szCs w:val="28"/>
        </w:rPr>
        <w:t>5</w:t>
      </w:r>
      <w:r w:rsidR="007A4FB9">
        <w:rPr>
          <w:sz w:val="28"/>
          <w:szCs w:val="28"/>
        </w:rPr>
        <w:t xml:space="preserve"> </w:t>
      </w:r>
      <w:r w:rsidR="00A33D99">
        <w:rPr>
          <w:sz w:val="28"/>
          <w:szCs w:val="28"/>
        </w:rPr>
        <w:t>января</w:t>
      </w:r>
      <w:r w:rsidR="0013505F">
        <w:rPr>
          <w:sz w:val="28"/>
          <w:szCs w:val="28"/>
        </w:rPr>
        <w:t xml:space="preserve"> </w:t>
      </w:r>
      <w:r w:rsidR="00587C41">
        <w:rPr>
          <w:sz w:val="28"/>
          <w:szCs w:val="28"/>
        </w:rPr>
        <w:t>202</w:t>
      </w:r>
      <w:r w:rsidR="00A33D99">
        <w:rPr>
          <w:sz w:val="28"/>
          <w:szCs w:val="28"/>
        </w:rPr>
        <w:t>4</w:t>
      </w:r>
      <w:r w:rsidR="00587C41">
        <w:rPr>
          <w:sz w:val="28"/>
          <w:szCs w:val="28"/>
        </w:rPr>
        <w:t xml:space="preserve">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57974" w:rsidRDefault="00D57974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D57974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 xml:space="preserve">- заявка подана лицом, не уполномоченным претендентом на осуществление </w:t>
      </w:r>
      <w:r w:rsidRPr="0061159B">
        <w:rPr>
          <w:rFonts w:ascii="Times New Roman" w:hAnsi="Times New Roman" w:cs="Times New Roman"/>
          <w:sz w:val="28"/>
          <w:szCs w:val="28"/>
        </w:rPr>
        <w:lastRenderedPageBreak/>
        <w:t>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 xml:space="preserve">Победителем </w:t>
      </w:r>
      <w:r w:rsidR="00D57974">
        <w:rPr>
          <w:sz w:val="28"/>
          <w:szCs w:val="28"/>
          <w:shd w:val="clear" w:color="auto" w:fill="FFFFFF"/>
        </w:rPr>
        <w:t>торгов</w:t>
      </w:r>
      <w:r w:rsidRPr="00DC3399">
        <w:rPr>
          <w:sz w:val="28"/>
          <w:szCs w:val="28"/>
          <w:shd w:val="clear" w:color="auto" w:fill="FFFFFF"/>
        </w:rPr>
        <w:t xml:space="preserve">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lastRenderedPageBreak/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F7388D" w:rsidRDefault="00F7388D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AE2246" w:rsidRDefault="00AE2246" w:rsidP="00AE2246">
      <w:pPr>
        <w:pStyle w:val="ae"/>
        <w:numPr>
          <w:ilvl w:val="0"/>
          <w:numId w:val="21"/>
        </w:num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AE2246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B265A9" w:rsidRPr="0006426C" w:rsidRDefault="00B265A9" w:rsidP="0006426C">
      <w:pPr>
        <w:pStyle w:val="ae"/>
        <w:ind w:left="0"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1</w:t>
      </w:r>
      <w:r w:rsidR="00D932DC">
        <w:rPr>
          <w:b/>
          <w:sz w:val="28"/>
          <w:szCs w:val="28"/>
        </w:rPr>
        <w:t xml:space="preserve"> – Лот </w:t>
      </w:r>
      <w:r w:rsidR="00D932E2">
        <w:rPr>
          <w:b/>
          <w:sz w:val="28"/>
          <w:szCs w:val="28"/>
        </w:rPr>
        <w:t>2</w:t>
      </w:r>
      <w:r w:rsidRPr="0006426C">
        <w:rPr>
          <w:b/>
          <w:sz w:val="28"/>
          <w:szCs w:val="28"/>
        </w:rPr>
        <w:t>:</w:t>
      </w:r>
      <w:r w:rsidRPr="0006426C">
        <w:rPr>
          <w:sz w:val="28"/>
          <w:szCs w:val="28"/>
        </w:rPr>
        <w:t xml:space="preserve"> </w:t>
      </w:r>
      <w:r w:rsidR="00D932E2">
        <w:rPr>
          <w:sz w:val="28"/>
          <w:szCs w:val="28"/>
        </w:rPr>
        <w:t>А</w:t>
      </w:r>
      <w:r w:rsidR="00D932E2" w:rsidRPr="00D932E2">
        <w:rPr>
          <w:sz w:val="28"/>
          <w:szCs w:val="28"/>
        </w:rPr>
        <w:t xml:space="preserve">укцион, назначенный на 19 апреля 2023 года и на 04 октября 2023 года, признан несостоявшимся в связи с отсутствием заявок. Продажа посредством публичного предложения, назначенная на 16 ноября 2023 года, состоялась. Согласно протоколу комиссии по проведению торгов от 17 ноября 2023г. №20-п результаты (итоги) торгов по продаже имущества аннулированы. </w:t>
      </w:r>
    </w:p>
    <w:p w:rsidR="00AE2246" w:rsidRPr="00F7388D" w:rsidRDefault="00F900A3" w:rsidP="00F7388D">
      <w:pPr>
        <w:pStyle w:val="a4"/>
        <w:numPr>
          <w:ilvl w:val="0"/>
          <w:numId w:val="21"/>
        </w:numPr>
        <w:tabs>
          <w:tab w:val="clear" w:pos="851"/>
          <w:tab w:val="left" w:pos="567"/>
        </w:tabs>
        <w:jc w:val="center"/>
        <w:rPr>
          <w:b/>
          <w:sz w:val="28"/>
          <w:szCs w:val="28"/>
        </w:rPr>
      </w:pPr>
      <w:r w:rsidRPr="00F7388D">
        <w:rPr>
          <w:b/>
          <w:sz w:val="28"/>
          <w:szCs w:val="28"/>
        </w:rPr>
        <w:t xml:space="preserve"> </w:t>
      </w:r>
      <w:r w:rsidR="00AE2246" w:rsidRPr="00F7388D">
        <w:rPr>
          <w:b/>
          <w:sz w:val="28"/>
          <w:szCs w:val="28"/>
        </w:rPr>
        <w:t>Фото объектов</w:t>
      </w:r>
    </w:p>
    <w:p w:rsidR="008C4DB8" w:rsidRDefault="008C4DB8" w:rsidP="00CD3150">
      <w:pPr>
        <w:rPr>
          <w:sz w:val="28"/>
          <w:szCs w:val="28"/>
        </w:rPr>
      </w:pPr>
    </w:p>
    <w:p w:rsidR="00D56614" w:rsidRDefault="00D56614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0E30BA" w:rsidRDefault="002F7595" w:rsidP="00CD3150">
      <w:pPr>
        <w:rPr>
          <w:sz w:val="28"/>
          <w:szCs w:val="28"/>
        </w:rPr>
      </w:pPr>
      <w:r w:rsidRPr="006D5148">
        <w:rPr>
          <w:noProof/>
          <w:sz w:val="28"/>
          <w:szCs w:val="28"/>
          <w:lang w:eastAsia="ru-RU"/>
        </w:rPr>
        <w:drawing>
          <wp:inline distT="0" distB="0" distL="0" distR="0" wp14:anchorId="0995A79C" wp14:editId="4D4BB435">
            <wp:extent cx="5285304" cy="3952875"/>
            <wp:effectExtent l="0" t="0" r="0" b="0"/>
            <wp:docPr id="6" name="Рисунок 6" descr="D:\РАБОТА\2023\ПРИВАТИЗАЦИЯ\ПРОДАЕМ\ГАЗ-322171\29-08-2022_08-58-32\166175260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2023\ПРИВАТИЗАЦИЯ\ПРОДАЕМ\ГАЗ-322171\29-08-2022_08-58-32\166175260563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093" cy="39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595" w:rsidRDefault="002F7595" w:rsidP="00CD3150">
      <w:pPr>
        <w:rPr>
          <w:sz w:val="28"/>
          <w:szCs w:val="28"/>
        </w:rPr>
      </w:pPr>
    </w:p>
    <w:p w:rsidR="002F7595" w:rsidRDefault="002F7595" w:rsidP="00CD3150">
      <w:pPr>
        <w:rPr>
          <w:sz w:val="28"/>
          <w:szCs w:val="28"/>
        </w:rPr>
      </w:pPr>
    </w:p>
    <w:p w:rsidR="000E30BA" w:rsidRDefault="000E30BA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:rsidR="0003799A" w:rsidRDefault="00786476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7595" w:rsidRPr="006D5148">
        <w:rPr>
          <w:noProof/>
          <w:sz w:val="28"/>
          <w:szCs w:val="28"/>
          <w:lang w:eastAsia="ru-RU"/>
        </w:rPr>
        <w:drawing>
          <wp:inline distT="0" distB="0" distL="0" distR="0" wp14:anchorId="51CB9E21" wp14:editId="0B7E3461">
            <wp:extent cx="5397208" cy="4038600"/>
            <wp:effectExtent l="0" t="0" r="0" b="0"/>
            <wp:docPr id="7" name="Рисунок 7" descr="D:\РАБОТА\2023\ПРИВАТИЗАЦИЯ\ПРОДАЕМ\ГАЗ-322132\29-08-2022_09-03-40\166175297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2023\ПРИВАТИЗАЦИЯ\ПРОДАЕМ\ГАЗ-322132\29-08-2022_09-03-40\166175297175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496" cy="405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48" w:rsidRDefault="006D5148" w:rsidP="006D5148">
      <w:pPr>
        <w:rPr>
          <w:sz w:val="28"/>
          <w:szCs w:val="28"/>
          <w:lang w:eastAsia="ru-RU"/>
        </w:rPr>
      </w:pPr>
    </w:p>
    <w:p w:rsidR="006D5148" w:rsidRPr="006D5148" w:rsidRDefault="006D5148" w:rsidP="006D5148">
      <w:pPr>
        <w:rPr>
          <w:sz w:val="28"/>
          <w:szCs w:val="28"/>
          <w:lang w:eastAsia="ru-RU"/>
        </w:rPr>
      </w:pPr>
    </w:p>
    <w:sectPr w:rsidR="006D5148" w:rsidRPr="006D5148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EC" w:rsidRDefault="00061DEC" w:rsidP="00C10AE1">
      <w:r>
        <w:separator/>
      </w:r>
    </w:p>
  </w:endnote>
  <w:endnote w:type="continuationSeparator" w:id="0">
    <w:p w:rsidR="00061DEC" w:rsidRDefault="00061DEC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EC" w:rsidRDefault="00061DEC" w:rsidP="00C10AE1">
      <w:r>
        <w:separator/>
      </w:r>
    </w:p>
  </w:footnote>
  <w:footnote w:type="continuationSeparator" w:id="0">
    <w:p w:rsidR="00061DEC" w:rsidRDefault="00061DEC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2A4F"/>
    <w:rsid w:val="000259C9"/>
    <w:rsid w:val="00025D62"/>
    <w:rsid w:val="00034871"/>
    <w:rsid w:val="0003799A"/>
    <w:rsid w:val="00041070"/>
    <w:rsid w:val="00045402"/>
    <w:rsid w:val="000476AF"/>
    <w:rsid w:val="00061DEC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C64E4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3A6A"/>
    <w:rsid w:val="00115A39"/>
    <w:rsid w:val="00116288"/>
    <w:rsid w:val="001212E4"/>
    <w:rsid w:val="00130A80"/>
    <w:rsid w:val="0013505F"/>
    <w:rsid w:val="001363BE"/>
    <w:rsid w:val="0013746D"/>
    <w:rsid w:val="00141809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62C6"/>
    <w:rsid w:val="001867F3"/>
    <w:rsid w:val="00190E7B"/>
    <w:rsid w:val="001914C3"/>
    <w:rsid w:val="00197D83"/>
    <w:rsid w:val="001A35DE"/>
    <w:rsid w:val="001A7227"/>
    <w:rsid w:val="001B0667"/>
    <w:rsid w:val="001B0CF0"/>
    <w:rsid w:val="001B1C95"/>
    <w:rsid w:val="001B3344"/>
    <w:rsid w:val="001B61E6"/>
    <w:rsid w:val="001B6DA0"/>
    <w:rsid w:val="001B7353"/>
    <w:rsid w:val="001C0E7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55E58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F45C4"/>
    <w:rsid w:val="002F6408"/>
    <w:rsid w:val="002F7595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6979"/>
    <w:rsid w:val="00387427"/>
    <w:rsid w:val="00390961"/>
    <w:rsid w:val="0039240F"/>
    <w:rsid w:val="00393B37"/>
    <w:rsid w:val="003969D0"/>
    <w:rsid w:val="003A43F9"/>
    <w:rsid w:val="003B13C5"/>
    <w:rsid w:val="003B2098"/>
    <w:rsid w:val="003B79E3"/>
    <w:rsid w:val="003C209B"/>
    <w:rsid w:val="003C3688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23766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04BA"/>
    <w:rsid w:val="004F41AD"/>
    <w:rsid w:val="004F524C"/>
    <w:rsid w:val="004F5C23"/>
    <w:rsid w:val="005065A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483A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45FF"/>
    <w:rsid w:val="005D6926"/>
    <w:rsid w:val="005E057E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3364C"/>
    <w:rsid w:val="00640043"/>
    <w:rsid w:val="0064089C"/>
    <w:rsid w:val="006450D4"/>
    <w:rsid w:val="0064788A"/>
    <w:rsid w:val="00647D9E"/>
    <w:rsid w:val="00650998"/>
    <w:rsid w:val="00657624"/>
    <w:rsid w:val="0066104D"/>
    <w:rsid w:val="00676BCA"/>
    <w:rsid w:val="006772DE"/>
    <w:rsid w:val="0068384A"/>
    <w:rsid w:val="006879D1"/>
    <w:rsid w:val="006879E9"/>
    <w:rsid w:val="006A1627"/>
    <w:rsid w:val="006A6E08"/>
    <w:rsid w:val="006B2743"/>
    <w:rsid w:val="006B3887"/>
    <w:rsid w:val="006B4676"/>
    <w:rsid w:val="006B79C2"/>
    <w:rsid w:val="006C2C71"/>
    <w:rsid w:val="006D5148"/>
    <w:rsid w:val="006D69F7"/>
    <w:rsid w:val="006E0B92"/>
    <w:rsid w:val="006E1F2D"/>
    <w:rsid w:val="006E325A"/>
    <w:rsid w:val="006F0A0D"/>
    <w:rsid w:val="00701C7F"/>
    <w:rsid w:val="00710B23"/>
    <w:rsid w:val="00716075"/>
    <w:rsid w:val="00717A3E"/>
    <w:rsid w:val="00720B3F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6476"/>
    <w:rsid w:val="00787F60"/>
    <w:rsid w:val="00793D40"/>
    <w:rsid w:val="00794BFC"/>
    <w:rsid w:val="007A0D10"/>
    <w:rsid w:val="007A1FFB"/>
    <w:rsid w:val="007A30EF"/>
    <w:rsid w:val="007A4FB9"/>
    <w:rsid w:val="007B05D1"/>
    <w:rsid w:val="007B3925"/>
    <w:rsid w:val="007B758F"/>
    <w:rsid w:val="007B7C4F"/>
    <w:rsid w:val="007C24B8"/>
    <w:rsid w:val="007C59D9"/>
    <w:rsid w:val="007D2166"/>
    <w:rsid w:val="007E2A16"/>
    <w:rsid w:val="007E698F"/>
    <w:rsid w:val="007F114F"/>
    <w:rsid w:val="00805389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7AE"/>
    <w:rsid w:val="008279AC"/>
    <w:rsid w:val="008320D4"/>
    <w:rsid w:val="00833F11"/>
    <w:rsid w:val="00834C95"/>
    <w:rsid w:val="00835EC2"/>
    <w:rsid w:val="00840A61"/>
    <w:rsid w:val="00841345"/>
    <w:rsid w:val="008416AE"/>
    <w:rsid w:val="0084679E"/>
    <w:rsid w:val="00851930"/>
    <w:rsid w:val="00852297"/>
    <w:rsid w:val="00856A33"/>
    <w:rsid w:val="00862221"/>
    <w:rsid w:val="00862630"/>
    <w:rsid w:val="00865918"/>
    <w:rsid w:val="008670C6"/>
    <w:rsid w:val="00890083"/>
    <w:rsid w:val="008905FF"/>
    <w:rsid w:val="00890A37"/>
    <w:rsid w:val="00890FC5"/>
    <w:rsid w:val="00893BF0"/>
    <w:rsid w:val="008A0FB4"/>
    <w:rsid w:val="008A4CA3"/>
    <w:rsid w:val="008A58DE"/>
    <w:rsid w:val="008A5AB5"/>
    <w:rsid w:val="008B0A71"/>
    <w:rsid w:val="008B2AF6"/>
    <w:rsid w:val="008B5F73"/>
    <w:rsid w:val="008B7B8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4E86"/>
    <w:rsid w:val="008E5B11"/>
    <w:rsid w:val="008F1678"/>
    <w:rsid w:val="0090009E"/>
    <w:rsid w:val="009012CA"/>
    <w:rsid w:val="009123A3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219F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8781B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069"/>
    <w:rsid w:val="00A30DD2"/>
    <w:rsid w:val="00A318B5"/>
    <w:rsid w:val="00A31A1A"/>
    <w:rsid w:val="00A32B87"/>
    <w:rsid w:val="00A33D99"/>
    <w:rsid w:val="00A34434"/>
    <w:rsid w:val="00A34DA6"/>
    <w:rsid w:val="00A37AB9"/>
    <w:rsid w:val="00A41514"/>
    <w:rsid w:val="00A42320"/>
    <w:rsid w:val="00A44FD6"/>
    <w:rsid w:val="00A4564C"/>
    <w:rsid w:val="00A47DFF"/>
    <w:rsid w:val="00A504BE"/>
    <w:rsid w:val="00A51BBF"/>
    <w:rsid w:val="00A54A07"/>
    <w:rsid w:val="00A6055D"/>
    <w:rsid w:val="00A60875"/>
    <w:rsid w:val="00A70B3E"/>
    <w:rsid w:val="00A71C2C"/>
    <w:rsid w:val="00A7385A"/>
    <w:rsid w:val="00A74964"/>
    <w:rsid w:val="00A75908"/>
    <w:rsid w:val="00A759F7"/>
    <w:rsid w:val="00A76065"/>
    <w:rsid w:val="00A857DF"/>
    <w:rsid w:val="00A86D0E"/>
    <w:rsid w:val="00A86D8A"/>
    <w:rsid w:val="00A87B20"/>
    <w:rsid w:val="00A924C0"/>
    <w:rsid w:val="00A93B87"/>
    <w:rsid w:val="00A93ED6"/>
    <w:rsid w:val="00AA442A"/>
    <w:rsid w:val="00AA6305"/>
    <w:rsid w:val="00AA7610"/>
    <w:rsid w:val="00AB21C2"/>
    <w:rsid w:val="00AB4FEC"/>
    <w:rsid w:val="00AB528E"/>
    <w:rsid w:val="00AC052B"/>
    <w:rsid w:val="00AC1F79"/>
    <w:rsid w:val="00AC2E4C"/>
    <w:rsid w:val="00AC36A6"/>
    <w:rsid w:val="00AC7447"/>
    <w:rsid w:val="00AE2246"/>
    <w:rsid w:val="00AE68C7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36A6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44FB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1815"/>
    <w:rsid w:val="00CE3D8A"/>
    <w:rsid w:val="00CE65A1"/>
    <w:rsid w:val="00CF68BE"/>
    <w:rsid w:val="00D03C03"/>
    <w:rsid w:val="00D07E70"/>
    <w:rsid w:val="00D150E0"/>
    <w:rsid w:val="00D17C44"/>
    <w:rsid w:val="00D26D5D"/>
    <w:rsid w:val="00D305A1"/>
    <w:rsid w:val="00D30B8F"/>
    <w:rsid w:val="00D3259E"/>
    <w:rsid w:val="00D4332F"/>
    <w:rsid w:val="00D46050"/>
    <w:rsid w:val="00D46500"/>
    <w:rsid w:val="00D472D5"/>
    <w:rsid w:val="00D47F49"/>
    <w:rsid w:val="00D527BE"/>
    <w:rsid w:val="00D56614"/>
    <w:rsid w:val="00D57974"/>
    <w:rsid w:val="00D649E9"/>
    <w:rsid w:val="00D70FFF"/>
    <w:rsid w:val="00D73F8D"/>
    <w:rsid w:val="00D767B8"/>
    <w:rsid w:val="00D82AEC"/>
    <w:rsid w:val="00D932DC"/>
    <w:rsid w:val="00D932E2"/>
    <w:rsid w:val="00D94EC3"/>
    <w:rsid w:val="00D95588"/>
    <w:rsid w:val="00DA028D"/>
    <w:rsid w:val="00DA53DD"/>
    <w:rsid w:val="00DB1549"/>
    <w:rsid w:val="00DB7361"/>
    <w:rsid w:val="00DC3399"/>
    <w:rsid w:val="00DC4127"/>
    <w:rsid w:val="00DC7AAE"/>
    <w:rsid w:val="00DD1C8E"/>
    <w:rsid w:val="00DD3E2E"/>
    <w:rsid w:val="00DE26C3"/>
    <w:rsid w:val="00DE4873"/>
    <w:rsid w:val="00DE498F"/>
    <w:rsid w:val="00DE4DB6"/>
    <w:rsid w:val="00DF600C"/>
    <w:rsid w:val="00DF73C2"/>
    <w:rsid w:val="00E00F27"/>
    <w:rsid w:val="00E05C2C"/>
    <w:rsid w:val="00E15275"/>
    <w:rsid w:val="00E15D3C"/>
    <w:rsid w:val="00E202F4"/>
    <w:rsid w:val="00E2358C"/>
    <w:rsid w:val="00E325A9"/>
    <w:rsid w:val="00E32DBC"/>
    <w:rsid w:val="00E33169"/>
    <w:rsid w:val="00E3740D"/>
    <w:rsid w:val="00E4061B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76A36"/>
    <w:rsid w:val="00E80796"/>
    <w:rsid w:val="00E812A7"/>
    <w:rsid w:val="00E8224D"/>
    <w:rsid w:val="00E841DF"/>
    <w:rsid w:val="00E900CD"/>
    <w:rsid w:val="00E91A43"/>
    <w:rsid w:val="00E9750E"/>
    <w:rsid w:val="00EA38F6"/>
    <w:rsid w:val="00EA5924"/>
    <w:rsid w:val="00EA615A"/>
    <w:rsid w:val="00EB1B0F"/>
    <w:rsid w:val="00EB2568"/>
    <w:rsid w:val="00EB68F9"/>
    <w:rsid w:val="00ED2632"/>
    <w:rsid w:val="00EF3398"/>
    <w:rsid w:val="00EF50E5"/>
    <w:rsid w:val="00EF57C4"/>
    <w:rsid w:val="00EF644E"/>
    <w:rsid w:val="00F00719"/>
    <w:rsid w:val="00F0253C"/>
    <w:rsid w:val="00F058E9"/>
    <w:rsid w:val="00F1506B"/>
    <w:rsid w:val="00F16C39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3FD3"/>
    <w:rsid w:val="00F64339"/>
    <w:rsid w:val="00F64E9E"/>
    <w:rsid w:val="00F66F9B"/>
    <w:rsid w:val="00F70907"/>
    <w:rsid w:val="00F70FB5"/>
    <w:rsid w:val="00F7388D"/>
    <w:rsid w:val="00F76CFB"/>
    <w:rsid w:val="00F83D39"/>
    <w:rsid w:val="00F84975"/>
    <w:rsid w:val="00F900A3"/>
    <w:rsid w:val="00F97EE2"/>
    <w:rsid w:val="00FA0278"/>
    <w:rsid w:val="00FA5C66"/>
    <w:rsid w:val="00FB1229"/>
    <w:rsid w:val="00FB5C91"/>
    <w:rsid w:val="00FC2900"/>
    <w:rsid w:val="00FC3FBF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2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dobrraion.ru/" TargetMode="External"/><Relationship Id="rId28" Type="http://schemas.openxmlformats.org/officeDocument/2006/relationships/image" Target="media/image2.jpeg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image" Target="media/image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EE9A1-053F-4E99-9F90-A4BA4E16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17388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22</cp:revision>
  <cp:lastPrinted>2021-03-29T05:41:00Z</cp:lastPrinted>
  <dcterms:created xsi:type="dcterms:W3CDTF">2023-09-11T05:43:00Z</dcterms:created>
  <dcterms:modified xsi:type="dcterms:W3CDTF">2023-12-01T06:40:00Z</dcterms:modified>
</cp:coreProperties>
</file>