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4B" w:rsidRPr="00334A04" w:rsidRDefault="000E7A4B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0E7A4B" w:rsidRPr="00334A04" w:rsidRDefault="000E7A4B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>продаже в собственность 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E7A4B" w:rsidRPr="00334A04" w:rsidRDefault="000E7A4B" w:rsidP="00FE7C59">
      <w:pPr>
        <w:pStyle w:val="3"/>
        <w:spacing w:after="0"/>
        <w:jc w:val="center"/>
        <w:rPr>
          <w:b/>
          <w:sz w:val="18"/>
          <w:szCs w:val="18"/>
        </w:rPr>
      </w:pPr>
    </w:p>
    <w:p w:rsidR="000E7A4B" w:rsidRPr="00AC724A" w:rsidRDefault="000E7A4B" w:rsidP="00FE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0E7A4B" w:rsidRDefault="000E7A4B" w:rsidP="00FE7C59">
      <w:pPr>
        <w:spacing w:after="0" w:line="240" w:lineRule="auto"/>
        <w:ind w:firstLine="567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округа от </w:t>
      </w:r>
      <w:r w:rsidRPr="00CC6558">
        <w:rPr>
          <w:rFonts w:ascii="Times New Roman" w:hAnsi="Times New Roman" w:cs="Times New Roman"/>
          <w:sz w:val="18"/>
          <w:szCs w:val="18"/>
        </w:rPr>
        <w:t xml:space="preserve">28.04.2022 г. </w:t>
      </w:r>
      <w:r w:rsidRPr="00CC6558">
        <w:rPr>
          <w:rFonts w:ascii="Times New Roman" w:hAnsi="Times New Roman" w:cs="Times New Roman"/>
          <w:bCs/>
          <w:sz w:val="18"/>
          <w:szCs w:val="18"/>
        </w:rPr>
        <w:t>№ 1085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0E7A4B" w:rsidRPr="0061038C" w:rsidRDefault="000E7A4B" w:rsidP="00FE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E7A4B" w:rsidRPr="00127B04" w:rsidRDefault="000E7A4B" w:rsidP="00FE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0E7A4B" w:rsidRPr="00127B04" w:rsidRDefault="000E7A4B" w:rsidP="00FE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03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0E7A4B" w:rsidRPr="00127B04" w:rsidRDefault="000E7A4B" w:rsidP="00FE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E7A4B" w:rsidRPr="002C20CB" w:rsidRDefault="000E7A4B" w:rsidP="00FE7C59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2C20CB">
        <w:rPr>
          <w:rFonts w:ascii="Times New Roman" w:hAnsi="Times New Roman" w:cs="Times New Roman"/>
          <w:sz w:val="18"/>
          <w:szCs w:val="18"/>
        </w:rPr>
        <w:t xml:space="preserve"> </w:t>
      </w:r>
      <w:r w:rsidRPr="002C20CB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2C20CB">
        <w:rPr>
          <w:rFonts w:ascii="Times New Roman" w:hAnsi="Times New Roman" w:cs="Times New Roman"/>
          <w:sz w:val="18"/>
          <w:szCs w:val="18"/>
        </w:rPr>
        <w:t xml:space="preserve">по лотам № </w:t>
      </w:r>
      <w:r>
        <w:rPr>
          <w:rFonts w:ascii="Times New Roman" w:hAnsi="Times New Roman" w:cs="Times New Roman"/>
          <w:sz w:val="18"/>
          <w:szCs w:val="18"/>
        </w:rPr>
        <w:t>1,5,6</w:t>
      </w:r>
      <w:r w:rsidRPr="002C20CB">
        <w:rPr>
          <w:rFonts w:ascii="Times New Roman" w:hAnsi="Times New Roman" w:cs="Times New Roman"/>
          <w:sz w:val="18"/>
          <w:szCs w:val="18"/>
        </w:rPr>
        <w:t>.</w:t>
      </w:r>
    </w:p>
    <w:p w:rsidR="000E7A4B" w:rsidRDefault="000E7A4B" w:rsidP="00FE7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7 </w:t>
      </w:r>
      <w:r w:rsidRPr="009F7147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F7147">
        <w:rPr>
          <w:rFonts w:ascii="Times New Roman" w:hAnsi="Times New Roman" w:cs="Times New Roman"/>
          <w:sz w:val="18"/>
          <w:szCs w:val="18"/>
        </w:rPr>
        <w:t>0% ниже начальной цены предыдущего аукциона, в связи с повторным выставлением.</w:t>
      </w:r>
    </w:p>
    <w:p w:rsidR="000E7A4B" w:rsidRPr="00813B62" w:rsidRDefault="000E7A4B" w:rsidP="00FE7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13B62">
        <w:rPr>
          <w:rFonts w:ascii="Times New Roman" w:hAnsi="Times New Roman" w:cs="Times New Roman"/>
          <w:b/>
          <w:sz w:val="18"/>
          <w:szCs w:val="18"/>
        </w:rPr>
        <w:t>Начальн</w:t>
      </w:r>
      <w:r>
        <w:rPr>
          <w:rFonts w:ascii="Times New Roman" w:hAnsi="Times New Roman" w:cs="Times New Roman"/>
          <w:b/>
          <w:sz w:val="18"/>
          <w:szCs w:val="18"/>
        </w:rPr>
        <w:t>ая</w:t>
      </w:r>
      <w:r w:rsidRPr="00813B62">
        <w:rPr>
          <w:rFonts w:ascii="Times New Roman" w:hAnsi="Times New Roman" w:cs="Times New Roman"/>
          <w:b/>
          <w:sz w:val="18"/>
          <w:szCs w:val="18"/>
        </w:rPr>
        <w:t xml:space="preserve"> цена продажи земельного участка</w:t>
      </w:r>
      <w:r w:rsidRPr="00813B62">
        <w:rPr>
          <w:rFonts w:ascii="Times New Roman" w:hAnsi="Times New Roman" w:cs="Times New Roman"/>
          <w:sz w:val="18"/>
          <w:szCs w:val="18"/>
        </w:rPr>
        <w:t xml:space="preserve"> по лоту № 2 согласно рыночному отчету № 1791/02 ООО «ПРАЙМ КОНСАЛТИНГ».</w:t>
      </w:r>
    </w:p>
    <w:p w:rsidR="000E7A4B" w:rsidRPr="00813B62" w:rsidRDefault="000E7A4B" w:rsidP="00FE7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13B62">
        <w:rPr>
          <w:rFonts w:ascii="Times New Roman" w:hAnsi="Times New Roman" w:cs="Times New Roman"/>
          <w:b/>
          <w:sz w:val="18"/>
          <w:szCs w:val="18"/>
        </w:rPr>
        <w:t>Начальн</w:t>
      </w:r>
      <w:r>
        <w:rPr>
          <w:rFonts w:ascii="Times New Roman" w:hAnsi="Times New Roman" w:cs="Times New Roman"/>
          <w:b/>
          <w:sz w:val="18"/>
          <w:szCs w:val="18"/>
        </w:rPr>
        <w:t>ая</w:t>
      </w:r>
      <w:r w:rsidRPr="00813B62">
        <w:rPr>
          <w:rFonts w:ascii="Times New Roman" w:hAnsi="Times New Roman" w:cs="Times New Roman"/>
          <w:b/>
          <w:sz w:val="18"/>
          <w:szCs w:val="18"/>
        </w:rPr>
        <w:t xml:space="preserve"> цена продажи земельного участка</w:t>
      </w:r>
      <w:r w:rsidRPr="00813B62">
        <w:rPr>
          <w:rFonts w:ascii="Times New Roman" w:hAnsi="Times New Roman" w:cs="Times New Roman"/>
          <w:sz w:val="18"/>
          <w:szCs w:val="18"/>
        </w:rPr>
        <w:t xml:space="preserve"> по лоту № 3 согласно рыночному отчету № 1791/04 ООО «ПРАЙМ КОНСАЛТИНГ».</w:t>
      </w:r>
    </w:p>
    <w:p w:rsidR="000E7A4B" w:rsidRPr="00813B62" w:rsidRDefault="000E7A4B" w:rsidP="00FE7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13B62">
        <w:rPr>
          <w:rFonts w:ascii="Times New Roman" w:hAnsi="Times New Roman" w:cs="Times New Roman"/>
          <w:b/>
          <w:sz w:val="18"/>
          <w:szCs w:val="18"/>
        </w:rPr>
        <w:t>Начальная цена продажи земельного участка</w:t>
      </w:r>
      <w:r w:rsidRPr="00813B62">
        <w:rPr>
          <w:rFonts w:ascii="Times New Roman" w:hAnsi="Times New Roman" w:cs="Times New Roman"/>
          <w:sz w:val="18"/>
          <w:szCs w:val="18"/>
        </w:rPr>
        <w:t xml:space="preserve"> по лоту № 4 согласно рыночному отчету № 1791/03 ООО «ПРАЙМ КОНСАЛТИНГ».</w:t>
      </w:r>
    </w:p>
    <w:p w:rsidR="000E7A4B" w:rsidRPr="00964D9E" w:rsidRDefault="000E7A4B" w:rsidP="000E7A4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59:18:0120101:1380, общая площадь – 1510,0 кв.м., местоположение: </w:t>
            </w:r>
            <w:proofErr w:type="gramStart"/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Мохово, ул. Покровская, разрешенное использование – для индивидуального жилищного строительства (Ж-4), вид права: собственность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280542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14027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8400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59:18:0350101:1419, общая площадь – 1500,0 кв.м., местоположение: </w:t>
            </w:r>
            <w:proofErr w:type="gramStart"/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Советская, разрешенное использование – ведение садоводства (Ж-4), вид права: собственность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59:18:0190101:2137, общая площадь – 922,0 кв.м., местоположение: Пермский край, Добрянский городской округ, п. Ветляны, ул. </w:t>
            </w:r>
            <w:proofErr w:type="spellStart"/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Дивьинская</w:t>
            </w:r>
            <w:proofErr w:type="spellEnd"/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ведение садоводства (Ж-4),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Cs/>
                <w:sz w:val="18"/>
                <w:szCs w:val="18"/>
              </w:rPr>
              <w:t>138000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6900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59:18:0480101:1531, общая площадь – 500,0 кв.м., местоположение: </w:t>
            </w:r>
            <w:proofErr w:type="gramStart"/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Красная Слудка, ул. Дачная, разрешенное использование – ведение садоводства (Ж-4), вид права: собственность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Cs/>
                <w:sz w:val="18"/>
                <w:szCs w:val="18"/>
              </w:rPr>
              <w:t>75000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3750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59:18:0100101:53, общая площадь – 637,0 кв.м., местоположение: Пермский край, Добрянский городской округ, д. Константиновка, ул. Центральная, з/у 16а, разрешенное использование – отдельно стоящие жилые дома на одну семью не выше 3-х этажей с приусадебными участками (Ж-4),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76031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3801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59:18:0260101:2330, общая площадь – 1581,0 кв.м., местоположение: Пермский край, Добрянский городской округ, п. Бор-Ленва, ул. Матросова, разрешенное использование – для ведения личного подсобного хозяйства (Ж-4),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175917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8795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</w:tr>
      <w:tr w:rsidR="000E7A4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7A4B" w:rsidRPr="00CF0F4F" w:rsidRDefault="000E7A4B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59:18:1360101:311, общая площадь – 1700,0 кв.м., местоположение: </w:t>
            </w:r>
            <w:proofErr w:type="gramStart"/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Ярино, ул. Мира, разрешенное использование – для индивидуального жилищного строительства (Ж-4), вид права: собственность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147940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7397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E7A4B" w:rsidRPr="00CF0F4F" w:rsidRDefault="000E7A4B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F4F">
              <w:rPr>
                <w:rFonts w:ascii="Times New Roman" w:hAnsi="Times New Roman" w:cs="Times New Roman"/>
                <w:sz w:val="18"/>
                <w:szCs w:val="18"/>
              </w:rPr>
              <w:t>4400</w:t>
            </w:r>
          </w:p>
        </w:tc>
      </w:tr>
    </w:tbl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891D33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D33">
        <w:rPr>
          <w:rFonts w:ascii="Times New Roman" w:hAnsi="Times New Roman" w:cs="Times New Roman"/>
          <w:sz w:val="18"/>
          <w:szCs w:val="18"/>
        </w:rPr>
        <w:t>И</w:t>
      </w:r>
      <w:r w:rsidR="00B76EDB" w:rsidRPr="00891D33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891D33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891D33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891D33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003D3" w:rsidRDefault="002003D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003D3" w:rsidRPr="00891D33" w:rsidRDefault="002003D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3A91" w:rsidRPr="00891D33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lastRenderedPageBreak/>
        <w:t>Лот №1: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F3A91" w:rsidRPr="00891D33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</w:t>
      </w:r>
      <w:r w:rsidR="000E7A4B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0E7A4B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по ул. Дальняя, д. Мохово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0E7A4B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320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E7A4B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4F3A91" w:rsidRPr="00891D33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F3A91" w:rsidRPr="00891D33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F3A91" w:rsidRPr="00891D33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F3A91" w:rsidRPr="00891D33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891D33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891D3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891D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F3A91" w:rsidRPr="00891D33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F3A91" w:rsidRPr="00891D33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1C7C" w:rsidRPr="00891D33" w:rsidRDefault="004F3A91" w:rsidP="006B1C7C">
      <w:pPr>
        <w:pStyle w:val="Default"/>
        <w:rPr>
          <w:color w:val="auto"/>
        </w:rPr>
      </w:pPr>
      <w:r w:rsidRPr="00891D33">
        <w:rPr>
          <w:rFonts w:eastAsia="Calibri"/>
          <w:color w:val="auto"/>
          <w:sz w:val="18"/>
          <w:szCs w:val="18"/>
          <w:lang w:eastAsia="en-US"/>
        </w:rPr>
        <w:t xml:space="preserve">Техническая возможность подключения к </w:t>
      </w:r>
      <w:r w:rsidRPr="00891D33">
        <w:rPr>
          <w:rFonts w:eastAsia="Calibri"/>
          <w:b/>
          <w:color w:val="auto"/>
          <w:sz w:val="18"/>
          <w:szCs w:val="18"/>
          <w:lang w:eastAsia="en-US"/>
        </w:rPr>
        <w:t xml:space="preserve">сетям водоснабжения имеется. </w:t>
      </w:r>
    </w:p>
    <w:p w:rsidR="004F3A91" w:rsidRPr="00891D33" w:rsidRDefault="004F3A9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2FE5" w:rsidRPr="00891D33" w:rsidRDefault="0050371E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891D33">
        <w:rPr>
          <w:rFonts w:ascii="Times New Roman" w:hAnsi="Times New Roman" w:cs="Times New Roman"/>
          <w:b/>
          <w:sz w:val="18"/>
          <w:szCs w:val="18"/>
        </w:rPr>
        <w:t>2</w:t>
      </w:r>
      <w:r w:rsidRPr="00891D33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891D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92FE5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92FE5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92FE5" w:rsidRPr="00891D33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6B1C7C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B1C7C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КС Добрянская на </w:t>
      </w:r>
      <w:proofErr w:type="spellStart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Start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End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Полазна, с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обственник газопровода АО «Газпром газораспределение Пермь». Ориентировочное расстояние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17 500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  <w:r w:rsidR="006B1C7C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Требуется прокладка газопровода бестраншейным методом через асфальтированную автомобильную дорогу.</w:t>
      </w:r>
    </w:p>
    <w:p w:rsidR="00292FE5" w:rsidRPr="00891D33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92FE5" w:rsidRPr="00891D33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92FE5" w:rsidRPr="00891D33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7077F3" w:rsidRPr="00891D33" w:rsidRDefault="007077F3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92FE5" w:rsidRPr="00891D33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891D3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891D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92FE5" w:rsidRPr="00891D33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92FE5" w:rsidRPr="00891D33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891D33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891D33" w:rsidRDefault="00292FE5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635322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35322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 категории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в п. Дивья,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обственник газопровода АО «Газпром газораспределение Пермь». Ориентировочное расстояние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10100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891D33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891D3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891D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35322" w:rsidRPr="00891D33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35322" w:rsidRPr="00891D33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="007077F3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</w:t>
      </w:r>
      <w:proofErr w:type="spellStart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Дивьинская</w:t>
      </w:r>
      <w:proofErr w:type="spellEnd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92FE5" w:rsidRPr="00891D33" w:rsidRDefault="00292FE5" w:rsidP="0063532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35322" w:rsidRPr="00891D33" w:rsidRDefault="00292FE5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635322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35322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077F3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 категории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д. Залесная – д. Гари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 Собственник газопровод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ООО</w:t>
      </w:r>
      <w:proofErr w:type="gramEnd"/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«Уралстрой»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7077F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1680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891D33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891D33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891D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35322" w:rsidRPr="00891D33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35322" w:rsidRPr="00891D33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891D33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7077F3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903482" w:rsidRPr="00891D33" w:rsidRDefault="0090348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C0073" w:rsidRPr="00891D33" w:rsidRDefault="00E80D1B" w:rsidP="00CC00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t>Лот №</w:t>
      </w:r>
      <w:r w:rsidR="00CC0073" w:rsidRPr="00891D33">
        <w:rPr>
          <w:rFonts w:ascii="Times New Roman" w:hAnsi="Times New Roman" w:cs="Times New Roman"/>
          <w:b/>
          <w:sz w:val="18"/>
          <w:szCs w:val="18"/>
        </w:rPr>
        <w:t>5</w:t>
      </w:r>
      <w:r w:rsidRPr="00891D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C0073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C0073" w:rsidRPr="00891D33" w:rsidRDefault="00CC0073" w:rsidP="00CC00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на </w:t>
      </w:r>
      <w:proofErr w:type="spell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1,5 км.</w:t>
      </w:r>
    </w:p>
    <w:p w:rsidR="00CC0073" w:rsidRPr="00891D33" w:rsidRDefault="00CC0073" w:rsidP="00CC00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C0073" w:rsidRPr="00891D33" w:rsidRDefault="00CC0073" w:rsidP="00CC00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C0073" w:rsidRPr="00891D33" w:rsidRDefault="00CC0073" w:rsidP="00CC00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C0073" w:rsidRPr="00891D33" w:rsidRDefault="00CC0073" w:rsidP="00CC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C0073" w:rsidRPr="00891D33" w:rsidRDefault="00CC0073" w:rsidP="00CC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C0073" w:rsidRPr="00891D33" w:rsidRDefault="00CC0073" w:rsidP="00CC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«Энерго-Альянс№ не имеется.</w:t>
      </w:r>
    </w:p>
    <w:p w:rsidR="00CC0073" w:rsidRPr="00891D33" w:rsidRDefault="00CC0073" w:rsidP="00CC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C0073" w:rsidRPr="00891D33" w:rsidRDefault="00CC0073" w:rsidP="00CC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91D33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CC0073" w:rsidRPr="00891D33" w:rsidRDefault="00CC0073" w:rsidP="00CC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C0073" w:rsidRPr="00891D33" w:rsidRDefault="00CC0073" w:rsidP="00CC00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CC0073" w:rsidRPr="00891D33" w:rsidRDefault="00CC0073" w:rsidP="00CC007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62DDF" w:rsidRPr="00891D33" w:rsidRDefault="00B4421B" w:rsidP="00CC00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t>Лот №</w:t>
      </w:r>
      <w:r w:rsidR="00CC0073" w:rsidRPr="00891D33">
        <w:rPr>
          <w:rFonts w:ascii="Times New Roman" w:hAnsi="Times New Roman" w:cs="Times New Roman"/>
          <w:b/>
          <w:sz w:val="18"/>
          <w:szCs w:val="18"/>
        </w:rPr>
        <w:t>6</w:t>
      </w:r>
      <w:r w:rsidRPr="00891D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D62DDF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62DDF"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C0073" w:rsidRPr="00891D33" w:rsidRDefault="00D62DDF" w:rsidP="00CC00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распределительный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Добрянка-2 на г. Добрянка, 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18500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CC0073"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D62DDF" w:rsidRPr="00891D33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62DDF" w:rsidRPr="00891D33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62DDF" w:rsidRPr="00891D33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62DDF" w:rsidRPr="00891D33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891D33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62DDF" w:rsidRPr="00891D33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891D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891D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62DDF" w:rsidRPr="00891D33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62DDF" w:rsidRPr="00891D33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Default="00D62DDF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1D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891D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2003D3" w:rsidRDefault="002003D3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hAnsi="Times New Roman" w:cs="Times New Roman"/>
          <w:b/>
          <w:sz w:val="18"/>
          <w:szCs w:val="18"/>
        </w:rPr>
        <w:t>Лот №7</w:t>
      </w:r>
      <w:bookmarkStart w:id="0" w:name="_GoBack"/>
      <w:bookmarkEnd w:id="0"/>
      <w:r w:rsidRPr="00164B21">
        <w:rPr>
          <w:rFonts w:ascii="Times New Roman" w:hAnsi="Times New Roman" w:cs="Times New Roman"/>
          <w:b/>
          <w:sz w:val="18"/>
          <w:szCs w:val="18"/>
        </w:rPr>
        <w:t>: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 категории к п. Вильва, собственник газопровода АО «Газпром газораспределение Пермь». Ориентировочное расстояние 670 метров.</w:t>
      </w: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B124B" w:rsidRPr="00164B21" w:rsidRDefault="00CB124B" w:rsidP="00CB12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B124B" w:rsidRPr="00164B21" w:rsidRDefault="00CB124B" w:rsidP="00CB1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B124B" w:rsidRPr="00164B21" w:rsidRDefault="00CB124B" w:rsidP="00CB1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B124B" w:rsidRPr="00164B21" w:rsidRDefault="00CB124B" w:rsidP="00CB1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B124B" w:rsidRPr="00164B21" w:rsidRDefault="00CB124B" w:rsidP="00CB124B">
      <w:pPr>
        <w:pStyle w:val="Default"/>
        <w:rPr>
          <w:color w:val="auto"/>
        </w:rPr>
      </w:pPr>
      <w:r w:rsidRPr="00164B21">
        <w:rPr>
          <w:rFonts w:eastAsia="Calibri"/>
          <w:color w:val="auto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eastAsia="Calibri"/>
          <w:b/>
          <w:color w:val="auto"/>
          <w:sz w:val="18"/>
          <w:szCs w:val="18"/>
          <w:lang w:eastAsia="en-US"/>
        </w:rPr>
        <w:t xml:space="preserve">сетям водоснабжения имеется. </w:t>
      </w: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Центральное водоснабжение в населенном пункте отсутствует.</w:t>
      </w:r>
    </w:p>
    <w:p w:rsidR="00CB124B" w:rsidRPr="00164B21" w:rsidRDefault="00CB124B" w:rsidP="00CB12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Источником водоснабжения является скважина – водокачка по ул. Мира.</w:t>
      </w:r>
    </w:p>
    <w:p w:rsidR="002003D3" w:rsidRPr="00891D33" w:rsidRDefault="002003D3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5B7ECD" w:rsidRPr="00891D33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91D3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891D33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44C0C" w:rsidRPr="00891D33" w:rsidRDefault="00EC4A1B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91D33">
        <w:rPr>
          <w:rFonts w:ascii="Times New Roman" w:hAnsi="Times New Roman" w:cs="Times New Roman"/>
          <w:b/>
          <w:sz w:val="18"/>
          <w:szCs w:val="18"/>
        </w:rPr>
        <w:t>Лот №</w:t>
      </w:r>
      <w:r w:rsidR="00444C0C" w:rsidRPr="00891D33">
        <w:rPr>
          <w:rFonts w:ascii="Times New Roman" w:hAnsi="Times New Roman" w:cs="Times New Roman"/>
          <w:b/>
          <w:sz w:val="18"/>
          <w:szCs w:val="18"/>
        </w:rPr>
        <w:t>5</w:t>
      </w:r>
      <w:r w:rsidRPr="00891D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47D81" w:rsidRPr="00891D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2021-07-15; реквизиты документа-основания: постановление "Об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сервитута" от 05.07.2021 № 1298 выдан: Администрация Добрянского городского округа; Содержание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Публичный сервитут в целях размещения ВЛ-0.4 </w:t>
      </w:r>
      <w:proofErr w:type="spellStart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ТП-10105, входящая в состав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комплекса "Промплощадка"; ВЛ-0.4 </w:t>
      </w:r>
      <w:proofErr w:type="spellStart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Ф.1 от ТП-10351, сроком на 49 лет; Реестровый номер границы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59:18-6.1509; Вид объекта реестра границ: Зона с особыми условиями использования территории; Вид зоны по документу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Публичный сервитут в целях размещения ВЛ-0.4 </w:t>
      </w:r>
      <w:proofErr w:type="spellStart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ТП-10105, входящая в состав электросетевого комплекса "Промплощадка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ВЛ-0.4 </w:t>
      </w:r>
      <w:proofErr w:type="spellStart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444C0C" w:rsidRPr="00891D33">
        <w:rPr>
          <w:rFonts w:ascii="Times New Roman" w:eastAsia="TimesNewRomanPSMT" w:hAnsi="Times New Roman" w:cs="Times New Roman"/>
          <w:sz w:val="18"/>
          <w:szCs w:val="18"/>
        </w:rPr>
        <w:t xml:space="preserve"> Ф.1 от ТП-10351; </w:t>
      </w:r>
    </w:p>
    <w:p w:rsidR="00C23ED1" w:rsidRPr="00891D33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91D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44C0C" w:rsidRPr="00891D33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44C0C" w:rsidRPr="00891D33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91D3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2021-07-30; реквизиты документа-основания: постановление "О порядке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Федерации; Содержание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Ограничения использования объектов недвижимости в границах охранной зоны </w:t>
      </w:r>
      <w:proofErr w:type="gramStart"/>
      <w:r w:rsidRPr="00891D3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891D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от ТП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105 в соответствии с Постановлением Правительства РФ от 24.02.2009 №160 </w:t>
      </w:r>
      <w:r w:rsidRPr="00891D33">
        <w:rPr>
          <w:rFonts w:ascii="Cambria Math" w:eastAsia="TimesNewRomanPSMT" w:hAnsi="Cambria Math" w:cs="Cambria Math"/>
          <w:sz w:val="18"/>
          <w:szCs w:val="18"/>
        </w:rPr>
        <w:t>«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891D33">
        <w:rPr>
          <w:rFonts w:ascii="Cambria Math" w:eastAsia="TimesNewRomanPSMT" w:hAnsi="Cambria Math" w:cs="Cambria Math"/>
          <w:sz w:val="18"/>
          <w:szCs w:val="18"/>
        </w:rPr>
        <w:t>»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59:18-6.314; Вид объекта реестра границ: Зона с особыми условиями использования территории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891D3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0.4 </w:t>
      </w:r>
      <w:proofErr w:type="spellStart"/>
      <w:r w:rsidRPr="00891D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 от ТП 105; </w:t>
      </w:r>
    </w:p>
    <w:p w:rsidR="00444C0C" w:rsidRPr="00891D33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91D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44C0C" w:rsidRPr="00891D33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44C0C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91D33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>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кодекса Российской Федерации; Срок действия: с 2021-07-30; реквизиты документа-основания: постановление </w:t>
      </w:r>
      <w:r>
        <w:rPr>
          <w:rFonts w:ascii="Cambria Math" w:eastAsia="TimesNewRomanPSMT" w:hAnsi="Cambria Math" w:cs="Cambria Math"/>
          <w:sz w:val="18"/>
          <w:szCs w:val="18"/>
        </w:rPr>
        <w:t>«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>
        <w:rPr>
          <w:rFonts w:ascii="Cambria Math" w:eastAsia="TimesNewRomanPSMT" w:hAnsi="Cambria Math" w:cs="Cambria Math"/>
          <w:sz w:val="18"/>
          <w:szCs w:val="18"/>
        </w:rPr>
        <w:t>»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ф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44C0C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59:18-6.105;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44C0C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Охранная зона ВЛ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-10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444C0C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444C0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444C0C" w:rsidRPr="00444C0C" w:rsidRDefault="00444C0C" w:rsidP="004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44C0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45B06" w:rsidRPr="00F55D7D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D4C9D"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D4C9D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0D4C9D"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 w:rsidR="001612B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D4C9D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0D4C9D">
        <w:rPr>
          <w:rFonts w:ascii="Times New Roman" w:hAnsi="Times New Roman" w:cs="Times New Roman"/>
          <w:sz w:val="18"/>
          <w:szCs w:val="18"/>
        </w:rPr>
        <w:t>16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8E684F" w:rsidRPr="00F55D7D">
        <w:rPr>
          <w:rFonts w:ascii="Times New Roman" w:hAnsi="Times New Roman" w:cs="Times New Roman"/>
          <w:sz w:val="18"/>
          <w:szCs w:val="18"/>
        </w:rPr>
        <w:t>0</w:t>
      </w:r>
      <w:r w:rsidR="000D4C9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</w:t>
      </w:r>
      <w:r w:rsidR="000D4C9D">
        <w:rPr>
          <w:rFonts w:ascii="Times New Roman" w:hAnsi="Times New Roman" w:cs="Times New Roman"/>
          <w:sz w:val="18"/>
          <w:szCs w:val="18"/>
        </w:rPr>
        <w:t>7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0FEE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4C9D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A4B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3D3"/>
    <w:rsid w:val="0020049C"/>
    <w:rsid w:val="00206061"/>
    <w:rsid w:val="00207332"/>
    <w:rsid w:val="0021379C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4C0C"/>
    <w:rsid w:val="004452D5"/>
    <w:rsid w:val="00446103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3515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077F3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D33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C73E7"/>
    <w:rsid w:val="00BD2C19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124B"/>
    <w:rsid w:val="00CB204F"/>
    <w:rsid w:val="00CB5455"/>
    <w:rsid w:val="00CB5DED"/>
    <w:rsid w:val="00CB5EB4"/>
    <w:rsid w:val="00CC0073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E201-6CBA-44AC-91FA-4837318D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7854</TotalTime>
  <Pages>6</Pages>
  <Words>5362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35861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441</cp:revision>
  <cp:lastPrinted>2020-03-12T10:27:00Z</cp:lastPrinted>
  <dcterms:created xsi:type="dcterms:W3CDTF">2020-03-12T10:15:00Z</dcterms:created>
  <dcterms:modified xsi:type="dcterms:W3CDTF">2022-05-04T04:39:00Z</dcterms:modified>
</cp:coreProperties>
</file>