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F7" w:rsidRPr="00334A04" w:rsidRDefault="00422AF7" w:rsidP="0074489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422AF7" w:rsidRPr="00334A04" w:rsidRDefault="00422AF7" w:rsidP="0074489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>во заключения договор</w:t>
      </w:r>
      <w:r w:rsidR="008D2A72">
        <w:rPr>
          <w:rFonts w:ascii="Times New Roman" w:hAnsi="Times New Roman" w:cs="Times New Roman"/>
          <w:b/>
          <w:sz w:val="18"/>
          <w:szCs w:val="18"/>
        </w:rPr>
        <w:t>а</w:t>
      </w:r>
      <w:r>
        <w:rPr>
          <w:rFonts w:ascii="Times New Roman" w:hAnsi="Times New Roman" w:cs="Times New Roman"/>
          <w:b/>
          <w:sz w:val="18"/>
          <w:szCs w:val="18"/>
        </w:rPr>
        <w:t xml:space="preserve">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422AF7" w:rsidRPr="00334A04" w:rsidRDefault="00422AF7" w:rsidP="00744891">
      <w:pPr>
        <w:pStyle w:val="3"/>
        <w:spacing w:after="0"/>
        <w:jc w:val="center"/>
        <w:rPr>
          <w:b/>
          <w:sz w:val="18"/>
          <w:szCs w:val="18"/>
        </w:rPr>
      </w:pPr>
    </w:p>
    <w:p w:rsidR="008D2A72" w:rsidRPr="00AC724A" w:rsidRDefault="008D2A72" w:rsidP="008D2A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договора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8D2A72" w:rsidRPr="0061038C" w:rsidRDefault="008D2A72" w:rsidP="008D2A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61038C">
        <w:rPr>
          <w:rFonts w:ascii="Times New Roman" w:hAnsi="Times New Roman" w:cs="Times New Roman"/>
          <w:sz w:val="18"/>
          <w:szCs w:val="18"/>
        </w:rPr>
        <w:t xml:space="preserve">городского округа от </w:t>
      </w:r>
      <w:r>
        <w:rPr>
          <w:rFonts w:ascii="Times New Roman" w:hAnsi="Times New Roman" w:cs="Times New Roman"/>
          <w:sz w:val="18"/>
          <w:szCs w:val="18"/>
        </w:rPr>
        <w:t>11</w:t>
      </w:r>
      <w:r w:rsidRPr="0061038C">
        <w:rPr>
          <w:rFonts w:ascii="Times New Roman" w:hAnsi="Times New Roman" w:cs="Times New Roman"/>
          <w:sz w:val="18"/>
          <w:szCs w:val="18"/>
        </w:rPr>
        <w:t>.1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61038C">
        <w:rPr>
          <w:rFonts w:ascii="Times New Roman" w:hAnsi="Times New Roman" w:cs="Times New Roman"/>
          <w:sz w:val="18"/>
          <w:szCs w:val="18"/>
        </w:rPr>
        <w:t>.2021г. №2</w:t>
      </w:r>
      <w:r>
        <w:rPr>
          <w:rFonts w:ascii="Times New Roman" w:hAnsi="Times New Roman" w:cs="Times New Roman"/>
          <w:sz w:val="18"/>
          <w:szCs w:val="18"/>
        </w:rPr>
        <w:t>339</w:t>
      </w:r>
      <w:r w:rsidRPr="0061038C">
        <w:rPr>
          <w:rFonts w:ascii="Times New Roman" w:hAnsi="Times New Roman" w:cs="Times New Roman"/>
          <w:sz w:val="18"/>
          <w:szCs w:val="18"/>
        </w:rPr>
        <w:t>.</w:t>
      </w:r>
    </w:p>
    <w:p w:rsidR="008D2A72" w:rsidRPr="0061038C" w:rsidRDefault="008D2A72" w:rsidP="008D2A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8D2A72" w:rsidRPr="00127B04" w:rsidRDefault="008D2A72" w:rsidP="008D2A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8D2A72" w:rsidRPr="00127B04" w:rsidRDefault="008D2A72" w:rsidP="008D2A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16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8D2A72" w:rsidRPr="00127B04" w:rsidRDefault="008D2A72" w:rsidP="008D2A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D2A72" w:rsidRPr="00F3521C" w:rsidRDefault="008D2A72" w:rsidP="008D2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521C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F3521C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F3521C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F3521C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F3521C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F3521C">
        <w:rPr>
          <w:rFonts w:ascii="Times New Roman" w:hAnsi="Times New Roman" w:cs="Times New Roman"/>
          <w:sz w:val="18"/>
          <w:szCs w:val="18"/>
        </w:rPr>
        <w:t xml:space="preserve"> равной кадастровой стоимости земельного участка.</w:t>
      </w:r>
    </w:p>
    <w:p w:rsidR="008D2A72" w:rsidRPr="00D21F2F" w:rsidRDefault="008D2A72" w:rsidP="008D2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521C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</w:t>
      </w:r>
      <w:r w:rsidRPr="00D21F2F">
        <w:rPr>
          <w:rFonts w:ascii="Times New Roman" w:hAnsi="Times New Roman" w:cs="Times New Roman"/>
          <w:b/>
          <w:sz w:val="18"/>
          <w:szCs w:val="18"/>
        </w:rPr>
        <w:t>аукциона на право заключения договора аренды земельного участка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D21F2F">
        <w:rPr>
          <w:rFonts w:ascii="Times New Roman" w:hAnsi="Times New Roman" w:cs="Times New Roman"/>
          <w:sz w:val="18"/>
          <w:szCs w:val="18"/>
        </w:rPr>
        <w:t xml:space="preserve"> в размере 5% кадастровой стоимости земельного участка. </w:t>
      </w:r>
    </w:p>
    <w:p w:rsidR="008D2A72" w:rsidRDefault="008D2A72" w:rsidP="008D2A7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D21F2F">
        <w:rPr>
          <w:rFonts w:ascii="Times New Roman" w:hAnsi="Times New Roman" w:cs="Times New Roman"/>
          <w:sz w:val="18"/>
          <w:szCs w:val="18"/>
        </w:rPr>
        <w:t xml:space="preserve"> </w:t>
      </w:r>
      <w:r w:rsidRPr="00EC56AF">
        <w:rPr>
          <w:rFonts w:ascii="Times New Roman" w:hAnsi="Times New Roman" w:cs="Times New Roman"/>
          <w:sz w:val="18"/>
          <w:szCs w:val="18"/>
        </w:rPr>
        <w:t>по лоту № 1 согласно экспертному заключению № 1027/40/20 ООО «Оценка Сервис Плюс»</w:t>
      </w:r>
    </w:p>
    <w:p w:rsidR="008D2A72" w:rsidRDefault="008D2A72" w:rsidP="008D2A7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D2A72" w:rsidRPr="00964D9E" w:rsidRDefault="008D2A72" w:rsidP="008D2A7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8D2A7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72" w:rsidRPr="00EC56AF" w:rsidRDefault="008D2A72" w:rsidP="008D2A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59:18:1090101:811, общая площадь – 2000,0 кв.м., местоположение: Пермский край, Добрянский городской округ, с. Таборы,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47000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</w:tr>
      <w:tr w:rsidR="008D2A7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72" w:rsidRPr="00EC56AF" w:rsidRDefault="008D2A72" w:rsidP="008D2A7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C56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59:18:0190101:2120, общая площадь – 1408,0 кв.м., местоположение: Пермский край, Добрянский городской округ, п. Ветляны, ул. Школьная, разрешенное использование – культурное развитие (ОД</w:t>
            </w:r>
            <w:proofErr w:type="gramStart"/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15445*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</w:tr>
      <w:tr w:rsidR="008D2A7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72" w:rsidRPr="00EC56AF" w:rsidRDefault="008D2A72" w:rsidP="008D2A7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59:18:1210101:182, общая площадь – 2358,0 кв.м., местоположение: Пермский край, Добрянский городской округ, с. Таборы, разрешенное использование – для ведения личного подсобного хозяйства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131010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sz w:val="18"/>
                <w:szCs w:val="18"/>
              </w:rPr>
              <w:t>6551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2A72" w:rsidRPr="00EC56AF" w:rsidRDefault="008D2A72" w:rsidP="008D2A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583F7A" w:rsidRPr="00C365C2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C365C2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C365C2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C365C2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И</w:t>
      </w:r>
      <w:r w:rsidR="00B76EDB" w:rsidRPr="00C365C2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C365C2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C365C2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C365C2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C365C2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E5535" w:rsidRPr="007A445E" w:rsidRDefault="007A3F59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8E5535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E5535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8D2A7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</w:t>
      </w:r>
      <w:r w:rsidR="00BB5CD7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точка подключения, существующий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8D2A72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8D2A7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 категории </w:t>
      </w:r>
      <w:proofErr w:type="gramStart"/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8D2A72">
        <w:rPr>
          <w:rFonts w:ascii="Times New Roman" w:eastAsia="Calibri" w:hAnsi="Times New Roman" w:cs="Times New Roman"/>
          <w:sz w:val="18"/>
          <w:szCs w:val="18"/>
          <w:lang w:eastAsia="en-US"/>
        </w:rPr>
        <w:t>с. Вильва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</w:t>
      </w:r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ООО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</w:t>
      </w:r>
      <w:r w:rsidR="008D2A7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Газпром </w:t>
      </w:r>
      <w:proofErr w:type="spellStart"/>
      <w:r w:rsidR="008D2A72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</w:t>
      </w:r>
      <w:r w:rsidR="008D2A72">
        <w:rPr>
          <w:rFonts w:ascii="Times New Roman" w:eastAsia="Calibri" w:hAnsi="Times New Roman" w:cs="Times New Roman"/>
          <w:sz w:val="18"/>
          <w:szCs w:val="18"/>
          <w:lang w:eastAsia="en-US"/>
        </w:rPr>
        <w:t>7200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1F7BC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метров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7A445E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E5535" w:rsidRPr="007A445E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</w:t>
      </w:r>
      <w:r w:rsidRPr="007A445E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E5535" w:rsidRPr="007A445E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8EC" w:rsidRPr="007A445E" w:rsidRDefault="0050371E" w:rsidP="003118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>
        <w:rPr>
          <w:rFonts w:ascii="Times New Roman" w:hAnsi="Times New Roman" w:cs="Times New Roman"/>
          <w:b/>
          <w:sz w:val="18"/>
          <w:szCs w:val="18"/>
        </w:rPr>
        <w:t>2</w:t>
      </w:r>
      <w:r w:rsidRPr="007A445E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7A44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118EC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118EC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</w:t>
      </w:r>
      <w:r w:rsidR="0068419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межпоселковый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1 категории выход </w:t>
      </w:r>
      <w:r w:rsidR="0068419A">
        <w:rPr>
          <w:rFonts w:ascii="Times New Roman" w:eastAsia="Calibri" w:hAnsi="Times New Roman" w:cs="Times New Roman"/>
          <w:sz w:val="18"/>
          <w:szCs w:val="18"/>
          <w:lang w:eastAsia="en-US"/>
        </w:rPr>
        <w:t>на п. Дивья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68419A">
        <w:rPr>
          <w:rFonts w:ascii="Times New Roman" w:eastAsia="Calibri" w:hAnsi="Times New Roman" w:cs="Times New Roman"/>
          <w:sz w:val="18"/>
          <w:szCs w:val="18"/>
          <w:lang w:eastAsia="en-US"/>
        </w:rPr>
        <w:t>9800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E44D6" w:rsidRPr="007A445E" w:rsidRDefault="00186040" w:rsidP="004E44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9770E2">
        <w:rPr>
          <w:rFonts w:ascii="Times New Roman" w:hAnsi="Times New Roman" w:cs="Times New Roman"/>
          <w:b/>
          <w:sz w:val="18"/>
          <w:szCs w:val="18"/>
        </w:rPr>
        <w:t>3</w:t>
      </w:r>
      <w:r w:rsidRPr="007A445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E44D6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E44D6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4E44D6" w:rsidRDefault="004E44D6" w:rsidP="004E4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 категории 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с. Вильва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ООО «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Газпром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7200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4E44D6" w:rsidRPr="007A445E" w:rsidRDefault="004E44D6" w:rsidP="004E4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E44D6" w:rsidRPr="007A445E" w:rsidRDefault="004E44D6" w:rsidP="004E4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4E44D6" w:rsidRPr="007A445E" w:rsidRDefault="004E44D6" w:rsidP="004E4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E44D6" w:rsidRPr="007A445E" w:rsidRDefault="004E44D6" w:rsidP="004E4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E44D6" w:rsidRPr="007A445E" w:rsidRDefault="004E44D6" w:rsidP="004E4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E44D6" w:rsidRPr="007A445E" w:rsidRDefault="004E44D6" w:rsidP="004E4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E44D6" w:rsidRPr="007A445E" w:rsidRDefault="004E44D6" w:rsidP="004E4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118EC" w:rsidRPr="007A445E" w:rsidRDefault="003118EC" w:rsidP="004E4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640DA3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sz w:val="18"/>
          <w:szCs w:val="18"/>
        </w:rPr>
        <w:t>Параметры основных и вспомогательных видов разрешенного строительства применяются при соблюдении требований СанПиН 2.2.1/2.1.1.1200</w:t>
      </w:r>
      <w:r w:rsidRPr="0042252D">
        <w:rPr>
          <w:rFonts w:ascii="Times New Roman" w:hAnsi="Times New Roman" w:cs="Times New Roman"/>
          <w:sz w:val="18"/>
          <w:szCs w:val="18"/>
        </w:rPr>
        <w:t xml:space="preserve">-03 «Санитарно-защитные зоны и санитарная классификация предприятий, сооружений и иных объектов», </w:t>
      </w:r>
      <w:hyperlink r:id="rId7" w:history="1">
        <w:r w:rsidRPr="0042252D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42252D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42252D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4E44D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E44D6" w:rsidRPr="001E1F75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E1F75">
        <w:rPr>
          <w:rFonts w:ascii="Times New Roman" w:hAnsi="Times New Roman" w:cs="Times New Roman"/>
          <w:b/>
          <w:bCs/>
          <w:sz w:val="18"/>
          <w:szCs w:val="18"/>
        </w:rPr>
        <w:t>Для лот</w:t>
      </w:r>
      <w:r w:rsidR="00E8432D" w:rsidRPr="001E1F75">
        <w:rPr>
          <w:rFonts w:ascii="Times New Roman" w:hAnsi="Times New Roman" w:cs="Times New Roman"/>
          <w:b/>
          <w:bCs/>
          <w:sz w:val="18"/>
          <w:szCs w:val="18"/>
        </w:rPr>
        <w:t>а</w:t>
      </w:r>
      <w:r w:rsidRPr="001E1F75">
        <w:rPr>
          <w:rFonts w:ascii="Times New Roman" w:hAnsi="Times New Roman" w:cs="Times New Roman"/>
          <w:b/>
          <w:bCs/>
          <w:sz w:val="18"/>
          <w:szCs w:val="18"/>
        </w:rPr>
        <w:t xml:space="preserve"> № 1– Ж-2. «Зона </w:t>
      </w:r>
      <w:r w:rsidR="008A6B29" w:rsidRPr="001E1F75">
        <w:rPr>
          <w:rFonts w:ascii="Times New Roman" w:hAnsi="Times New Roman" w:cs="Times New Roman"/>
          <w:b/>
          <w:bCs/>
          <w:sz w:val="18"/>
          <w:szCs w:val="18"/>
        </w:rPr>
        <w:t>застройки малоэтажными жилыми домами</w:t>
      </w:r>
      <w:r w:rsidRPr="001E1F75">
        <w:rPr>
          <w:rFonts w:ascii="Times New Roman" w:hAnsi="Times New Roman" w:cs="Times New Roman"/>
          <w:b/>
          <w:bCs/>
          <w:sz w:val="18"/>
          <w:szCs w:val="18"/>
        </w:rPr>
        <w:t xml:space="preserve">»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5414B6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Pr="005414B6">
        <w:rPr>
          <w:rFonts w:ascii="Times New Roman" w:hAnsi="Times New Roman" w:cs="Times New Roman"/>
          <w:bCs/>
          <w:sz w:val="18"/>
          <w:szCs w:val="18"/>
        </w:rPr>
        <w:t xml:space="preserve">для </w:t>
      </w:r>
      <w:r w:rsidR="008A6B29">
        <w:rPr>
          <w:rFonts w:ascii="Times New Roman" w:hAnsi="Times New Roman" w:cs="Times New Roman"/>
          <w:bCs/>
          <w:sz w:val="18"/>
          <w:szCs w:val="18"/>
        </w:rPr>
        <w:t>ведения личного подсобного хозяйства</w:t>
      </w:r>
      <w:r w:rsidRPr="005414B6">
        <w:rPr>
          <w:rFonts w:ascii="Times New Roman" w:hAnsi="Times New Roman" w:cs="Times New Roman"/>
          <w:bCs/>
          <w:sz w:val="18"/>
          <w:szCs w:val="18"/>
        </w:rPr>
        <w:t>;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магазины;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коммунальное обслуживание</w:t>
      </w:r>
    </w:p>
    <w:p w:rsidR="004E44D6" w:rsidRPr="00A2405F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2405F">
        <w:rPr>
          <w:rFonts w:ascii="Times New Roman" w:hAnsi="Times New Roman" w:cs="Times New Roman"/>
          <w:b/>
          <w:bCs/>
          <w:sz w:val="18"/>
          <w:szCs w:val="18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земельный участок;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- сооружения для содержания птицы, мелкого и крупного домашнего скота;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4E44D6" w:rsidRPr="005414B6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При строительстве и эксплуатации зданий, встроенно-пристроенных помещений к зданиям (магазинов), предназначенных для продажи товаров и оказания услуг, торговая площадь которых не более 40 кв.м. торгового зала:</w:t>
      </w:r>
    </w:p>
    <w:p w:rsidR="001F15DA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 </w:t>
      </w:r>
      <w:r>
        <w:rPr>
          <w:rFonts w:ascii="Times New Roman" w:hAnsi="Times New Roman" w:cs="Times New Roman"/>
          <w:bCs/>
          <w:sz w:val="18"/>
          <w:szCs w:val="18"/>
        </w:rPr>
        <w:t>для временного хранения товаров и инвентаря;</w:t>
      </w:r>
    </w:p>
    <w:p w:rsidR="001F15DA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4E44D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1F15DA" w:rsidRPr="005414B6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детские площадки;</w:t>
      </w:r>
    </w:p>
    <w:p w:rsidR="004E44D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1F15DA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аллеи;</w:t>
      </w:r>
    </w:p>
    <w:p w:rsidR="004E44D6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малые архитектурные формы;</w:t>
      </w:r>
    </w:p>
    <w:p w:rsidR="001F15DA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объекты пожарной охраны (резервуары, противопожарные водоемы);</w:t>
      </w:r>
    </w:p>
    <w:p w:rsidR="001F15DA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скважины для забора воды, колодцы;</w:t>
      </w:r>
    </w:p>
    <w:p w:rsidR="001F15DA" w:rsidRPr="005414B6" w:rsidRDefault="001F15DA" w:rsidP="001F1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Pr="005414B6">
        <w:rPr>
          <w:rFonts w:ascii="Times New Roman" w:hAnsi="Times New Roman" w:cs="Times New Roman"/>
          <w:bCs/>
          <w:sz w:val="18"/>
          <w:szCs w:val="18"/>
        </w:rPr>
        <w:t>инженерные сооружения, предназначенные для обслуживания объектов на территории данной территориальной зоны;</w:t>
      </w:r>
    </w:p>
    <w:p w:rsidR="001F15DA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площадки мусоросборников (общие);</w:t>
      </w:r>
    </w:p>
    <w:p w:rsidR="001F15DA" w:rsidRDefault="001F15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стоянки для временного хранения личных транспортных сре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дств в с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оответствии с СП 42.13330.2011. «Свод правил». Градостроительство.</w:t>
      </w:r>
      <w:r w:rsidR="00D15EDA">
        <w:rPr>
          <w:rFonts w:ascii="Times New Roman" w:hAnsi="Times New Roman" w:cs="Times New Roman"/>
          <w:bCs/>
          <w:sz w:val="18"/>
          <w:szCs w:val="18"/>
        </w:rPr>
        <w:t xml:space="preserve"> Планировка и застройка городских и сельских поселений».</w:t>
      </w:r>
    </w:p>
    <w:p w:rsidR="00D15EDA" w:rsidRPr="00D15EDA" w:rsidRDefault="00D15E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5EDA">
        <w:rPr>
          <w:rFonts w:ascii="Times New Roman" w:hAnsi="Times New Roman" w:cs="Times New Roman"/>
          <w:bCs/>
          <w:sz w:val="18"/>
          <w:szCs w:val="18"/>
        </w:rPr>
        <w:t>Условно разрешенные виды использования: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Условно разрешенные виды использования: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="00D15EDA">
        <w:rPr>
          <w:rFonts w:ascii="Times New Roman" w:hAnsi="Times New Roman" w:cs="Times New Roman"/>
          <w:bCs/>
          <w:iCs/>
          <w:sz w:val="18"/>
          <w:szCs w:val="18"/>
        </w:rPr>
        <w:t>дошкольное, начальное и среднее общее образование</w:t>
      </w:r>
      <w:r w:rsidRPr="005414B6">
        <w:rPr>
          <w:rFonts w:ascii="Times New Roman" w:hAnsi="Times New Roman" w:cs="Times New Roman"/>
          <w:bCs/>
          <w:iCs/>
          <w:sz w:val="18"/>
          <w:szCs w:val="18"/>
        </w:rPr>
        <w:t>;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объекты гаражного назначения;</w:t>
      </w:r>
    </w:p>
    <w:p w:rsidR="004E44D6" w:rsidRDefault="00D15E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обслуживание;</w:t>
      </w:r>
    </w:p>
    <w:p w:rsidR="00D15EDA" w:rsidRDefault="00D15E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магазины;</w:t>
      </w:r>
    </w:p>
    <w:p w:rsidR="00D15EDA" w:rsidRPr="005414B6" w:rsidRDefault="00D15EDA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- спорт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4E44D6" w:rsidRPr="005414B6" w:rsidTr="000C1346">
        <w:trPr>
          <w:trHeight w:val="12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4E44D6" w:rsidRPr="005414B6" w:rsidTr="000C1346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E44D6" w:rsidRPr="005414B6" w:rsidTr="000C1346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E44D6" w:rsidRPr="005414B6" w:rsidTr="000C1346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D15EDA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 1500 кв.м. макс. 3000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между боковой границей участка (не прилегающей к красной линии) и основным строением - минимум 3 метра. 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Хозяйственные постройки для скота и птицы на земельном участке располагаются с отступом: 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от красных линий улиц и проездов - минимум 5 метров. 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до границы соседнего земельного участка: 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от жилого дома - минимум 3 метра; 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>от построек для скота и птицы - минимум 4 метра;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от бани, гаража и др. - </w:t>
            </w:r>
            <w:r w:rsidRPr="00D15E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минимум 1 метр; 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от стволов высокорослых деревьев - минимум 4 метра; </w:t>
            </w:r>
          </w:p>
          <w:p w:rsidR="00D15EDA" w:rsidRPr="00D15EDA" w:rsidRDefault="00D15EDA" w:rsidP="00D15EDA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 xml:space="preserve">от стволов среднерослых деревьев - минимум 2 метра; </w:t>
            </w:r>
          </w:p>
          <w:p w:rsidR="004E44D6" w:rsidRPr="00D15EDA" w:rsidRDefault="00D15EDA" w:rsidP="00D15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DA">
              <w:rPr>
                <w:rFonts w:ascii="Times New Roman" w:hAnsi="Times New Roman" w:cs="Times New Roman"/>
                <w:sz w:val="16"/>
                <w:szCs w:val="16"/>
              </w:rPr>
              <w:t>от кустарника - минимум 1 метр.</w:t>
            </w:r>
          </w:p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9E" w:rsidRPr="004F479E" w:rsidRDefault="004F479E" w:rsidP="004F479E">
            <w:pPr>
              <w:adjustRightInd w:val="0"/>
              <w:spacing w:after="0"/>
              <w:ind w:left="-62" w:right="-6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F47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более 13,6 м, не включая шпили, башни, флагштоки. </w:t>
            </w:r>
          </w:p>
          <w:p w:rsidR="004E44D6" w:rsidRPr="000F2E87" w:rsidRDefault="004F479E" w:rsidP="004F4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479E">
              <w:rPr>
                <w:rFonts w:ascii="Times New Roman" w:hAnsi="Times New Roman" w:cs="Times New Roman"/>
                <w:sz w:val="16"/>
                <w:szCs w:val="16"/>
              </w:rPr>
              <w:t>Высота вспомогательных строений от уровня земли до верха плоской кровли не более 3 метров, до конька скатной кровли не более 7 метров.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D15EDA" w:rsidP="00D15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60 %</w:t>
            </w:r>
          </w:p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E44D6" w:rsidRPr="005414B6" w:rsidRDefault="004E44D6" w:rsidP="004E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lastRenderedPageBreak/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4E44D6" w:rsidRPr="005414B6" w:rsidTr="000C1346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4E44D6" w:rsidRPr="005414B6" w:rsidTr="000C1346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 количество этажей и (или) пре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дельная высота зданий, строений, со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4E44D6" w:rsidRPr="005414B6" w:rsidTr="000C1346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E44D6" w:rsidRPr="005414B6" w:rsidTr="000C1346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D6" w:rsidRPr="000F2E87" w:rsidRDefault="004E44D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8E5E58" w:rsidRDefault="008E5E58" w:rsidP="00DC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E1F75" w:rsidRDefault="001E1F75" w:rsidP="00E8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Для лота № 2 – ОД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«Зона </w:t>
      </w:r>
      <w:r w:rsidRPr="001E1F75">
        <w:rPr>
          <w:rFonts w:ascii="Times New Roman" w:hAnsi="Times New Roman" w:cs="Times New Roman"/>
          <w:b/>
          <w:bCs/>
          <w:sz w:val="18"/>
          <w:szCs w:val="18"/>
        </w:rPr>
        <w:t>специализированной общественной застройки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» (см. в приложении градостроительный план земельного участка) </w:t>
      </w:r>
    </w:p>
    <w:p w:rsidR="001E1F75" w:rsidRDefault="001E1F75" w:rsidP="00E8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8432D" w:rsidRPr="001E1F75" w:rsidRDefault="00E8432D" w:rsidP="00E8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E1F75">
        <w:rPr>
          <w:rFonts w:ascii="Times New Roman" w:hAnsi="Times New Roman" w:cs="Times New Roman"/>
          <w:b/>
          <w:bCs/>
          <w:sz w:val="18"/>
          <w:szCs w:val="18"/>
        </w:rPr>
        <w:t>Для лота № 3– Ж-4. «Зона застройки индивидуальными жилыми домами»</w:t>
      </w:r>
    </w:p>
    <w:p w:rsidR="00E8432D" w:rsidRDefault="00E8432D" w:rsidP="00E8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0C1346" w:rsidRPr="00195352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95352">
        <w:rPr>
          <w:rFonts w:ascii="Times New Roman" w:hAnsi="Times New Roman" w:cs="Times New Roman"/>
          <w:i/>
          <w:sz w:val="18"/>
          <w:szCs w:val="18"/>
          <w:u w:val="single"/>
        </w:rPr>
        <w:t xml:space="preserve">Для индивидуального жилищного строительства </w:t>
      </w:r>
    </w:p>
    <w:p w:rsidR="000C1346" w:rsidRDefault="000C1346" w:rsidP="000C134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</w:r>
    </w:p>
    <w:p w:rsidR="000C1346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  <w:u w:val="single"/>
        </w:rPr>
        <w:t>Для ведения личного подсобного хозяйства (приусадебный земельный участок</w:t>
      </w:r>
      <w:proofErr w:type="gramEnd"/>
    </w:p>
    <w:p w:rsidR="000C1346" w:rsidRDefault="000C1346" w:rsidP="000C13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</w:p>
    <w:p w:rsidR="000C1346" w:rsidRDefault="000C1346" w:rsidP="000C13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Блокированная жилая застройка </w:t>
      </w:r>
    </w:p>
    <w:p w:rsidR="000C1346" w:rsidRDefault="000C1346" w:rsidP="000C13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</w:r>
      <w:proofErr w:type="gramEnd"/>
      <w:r w:rsidRPr="00195352">
        <w:rPr>
          <w:rFonts w:ascii="Times New Roman" w:hAnsi="Times New Roman" w:cs="Times New Roman"/>
          <w:sz w:val="18"/>
          <w:szCs w:val="18"/>
        </w:rPr>
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</w:r>
    </w:p>
    <w:p w:rsidR="000C1346" w:rsidRDefault="000C1346" w:rsidP="000C13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Хранение автотранспорта</w:t>
      </w:r>
    </w:p>
    <w:p w:rsidR="000C1346" w:rsidRPr="00195352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размещения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депо.</w:t>
      </w:r>
    </w:p>
    <w:p w:rsidR="000C1346" w:rsidRPr="001C6331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C6331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</w:t>
      </w:r>
      <w:r>
        <w:rPr>
          <w:rFonts w:ascii="Times New Roman" w:hAnsi="Times New Roman" w:cs="Times New Roman"/>
          <w:i/>
          <w:sz w:val="18"/>
          <w:szCs w:val="18"/>
        </w:rPr>
        <w:t>я уборочной и аварийной техники, сооружений, необходимых для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сбора и плавки снега;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порядка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</w:t>
      </w:r>
      <w:r>
        <w:rPr>
          <w:rFonts w:ascii="Times New Roman" w:hAnsi="Times New Roman" w:cs="Times New Roman"/>
          <w:i/>
          <w:sz w:val="18"/>
          <w:szCs w:val="18"/>
        </w:rPr>
        <w:t xml:space="preserve">, необходимых для подготовки и поддержания в готовности органов внутренних дел,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Росгвардии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и спасательных служб, в которых существуют военизированная служба;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декоративны,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0C1346" w:rsidRPr="0095689E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95689E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строительств, предназначенных для оказания населению или организациям бытовых услуг (мастерские мелкого ремонта, ателье, бани, парикмахерские, прачечные, похоронное бюро).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Религиозное использование  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0C1346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0C1346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0C1346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0C1346" w:rsidRPr="00334A04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0C1346" w:rsidRDefault="000C1346" w:rsidP="000C134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2.3.2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 (приусадебный земельный участок)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1000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;</w:t>
            </w:r>
          </w:p>
          <w:p w:rsidR="000C1346" w:rsidRPr="0095689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5000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2.3.3  </w:t>
      </w:r>
      <w:r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200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на каждую блок-секцию;</w:t>
            </w:r>
          </w:p>
          <w:p w:rsidR="000C1346" w:rsidRPr="0095689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2000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до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должно быть не менее: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границ смежных землепользователей – 3м;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постройки для содержания скота и птицы 4м;</w:t>
            </w:r>
          </w:p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бань, автостоянок и прочих построек 1м;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 </w:t>
      </w:r>
      <w:r>
        <w:rPr>
          <w:rFonts w:ascii="Times New Roman" w:hAnsi="Times New Roman" w:cs="Times New Roman"/>
          <w:i/>
          <w:sz w:val="18"/>
          <w:szCs w:val="18"/>
        </w:rPr>
        <w:t>Среднеэтажная жилая постройка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5689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Минимальная площадь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земельного участка 1200,0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9для вновь возводимых объектов).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Отступ от границ земель общего пользования – не менее 5м.</w:t>
            </w:r>
          </w:p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Максимальное количество надземных этажей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– 8. Минимальное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При новом строительстве 40%; при реконструкции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2.3.5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5689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гаражей одноэтажных 30м2; двухэтажных 20м2; наземных стоянок 25м2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0м;</w:t>
            </w:r>
          </w:p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От границ смежных землепользователей – 0м.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этажей – 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5689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Размеры земельных участков объектов инженерно-технического обеспечения, необходимых для коммунального обслуживания (в том числе линейные инженерные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Отступ от границ земельного участка – 1м;</w:t>
            </w:r>
          </w:p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СП 42.13330.2016 «естественное и искусственное освещение», а также в соответствии с противопожарными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2.3.7  </w:t>
      </w:r>
      <w:r>
        <w:rPr>
          <w:rFonts w:ascii="Times New Roman" w:hAnsi="Times New Roman" w:cs="Times New Roman"/>
          <w:i/>
          <w:sz w:val="18"/>
          <w:szCs w:val="18"/>
        </w:rPr>
        <w:t>Обеспечение внутреннего порядка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5689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границ производственных участков расположенных в общественно-деловой зоне до общественных зданий следует принимать не менее 50 м. </w:t>
            </w:r>
          </w:p>
          <w:p w:rsidR="000C1346" w:rsidRDefault="000C1346" w:rsidP="000C13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строений границ земельного участка в район существующей застройки в соответствии со сложившейся ситуацией, в районе новой застройки - не менее 3 м.</w:t>
            </w:r>
          </w:p>
          <w:p w:rsidR="000C1346" w:rsidRPr="00CD2591" w:rsidRDefault="000C1346" w:rsidP="000C13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от пожарного депо до границ земельных участков общеобразовательных школ, дошкольных организаций и лечебных учреждений – 30 м. Расстояние между жилыми и общественными зданиями следует принимать на основе расчетов инсоляции и освещенности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а также в соответствии с противопожарными требованиями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Pr="00CD2591" w:rsidRDefault="000C1346" w:rsidP="000C1346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lastRenderedPageBreak/>
        <w:t>2.3.8 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1. Ширина основных пешеходных коммуникаций (тротуаров, аллеи, дорожек, тропинок) – не менее 1,5 м. 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Ширина основных пешеходных коммуникаций на участках возможного встречного движения инвалидов на креслах-каталках не менее 1,8м.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 основное проезды проектируются с двусторонним движением с шириной полосы для движения не менее 2,75 м.</w:t>
            </w:r>
          </w:p>
          <w:p w:rsidR="000C1346" w:rsidRPr="0095689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4. Второстепенные проезды допускается проектировать однополосными шириной не менее 3,5 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1. расстояние от </w:t>
            </w: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края основной проезжей части магистральных дорог до линии регулирования жилой застройки следует принимать – не менее 50 м, при условии применения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шумозащитных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устройств – не менее 25 м.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расстояние от края основной проезжей части улиц, местных или боковых проездов до линии застройки следует принимать не более 25.</w:t>
            </w:r>
          </w:p>
          <w:p w:rsidR="000C1346" w:rsidRPr="00440C73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случаях превышения указанного расстояния следует предусматривать на расстоянии не ближе 5 м от линии застройки полосу шириной 6м, пригодную для проезда пожарных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Default="000C1346" w:rsidP="000C1346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городского сада допускается возведение зданий высотой не более 6-8 м.</w:t>
            </w:r>
          </w:p>
          <w:p w:rsidR="000C1346" w:rsidRDefault="000C1346" w:rsidP="000C1346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бульвара допускается возведение зданий высотой не более 6м.</w:t>
            </w:r>
          </w:p>
          <w:p w:rsidR="000C1346" w:rsidRDefault="000C1346" w:rsidP="000C1346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парков допускается возведение зданий высотой не более 8м.</w:t>
            </w:r>
          </w:p>
          <w:p w:rsidR="000C1346" w:rsidRPr="00440C73" w:rsidRDefault="000C1346" w:rsidP="000C1346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Высота парковых сооружений не ограничивается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440C73" w:rsidRDefault="000C1346" w:rsidP="000C1346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 w:cs="Times New Roman"/>
                <w:sz w:val="14"/>
                <w:szCs w:val="16"/>
              </w:rPr>
            </w:pP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>Максимальный процент застройки в границах земельного участка для бульваров: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- </w:t>
            </w: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>2-3% при ширин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 25-50 м;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не более 5 % при ширине более 50 м;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Максимальный процент аллей, дорожек, площадок и малых форм в границах земельного участка для скверов, размещаемых на городских улицах и площадях, - 40-25%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 Общая площадь застройки городского сада не должна превышать 5% территории сада.</w:t>
            </w:r>
          </w:p>
          <w:p w:rsidR="000C1346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4. Общая площадь застройки парка не должна превышать 30% территории парка.</w:t>
            </w:r>
          </w:p>
          <w:p w:rsidR="000C1346" w:rsidRPr="00440C73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8D1AF1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0C1346" w:rsidTr="000C1346">
        <w:tc>
          <w:tcPr>
            <w:tcW w:w="1757" w:type="dxa"/>
            <w:vMerge w:val="restart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lastRenderedPageBreak/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0C1346" w:rsidTr="000C1346">
        <w:tc>
          <w:tcPr>
            <w:tcW w:w="1757" w:type="dxa"/>
            <w:vMerge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0C1346" w:rsidRPr="00CE5C27" w:rsidRDefault="000C1346" w:rsidP="000C13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0C1346" w:rsidTr="000C1346">
        <w:tc>
          <w:tcPr>
            <w:tcW w:w="1757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C1346" w:rsidTr="000C1346">
        <w:tc>
          <w:tcPr>
            <w:tcW w:w="1757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0C1346" w:rsidRPr="009F30CC" w:rsidRDefault="000C1346" w:rsidP="000C1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C1346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C1346" w:rsidRPr="00B41DF8" w:rsidRDefault="000C1346" w:rsidP="000C134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B20EC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9B20EC">
        <w:rPr>
          <w:rFonts w:ascii="Times New Roman" w:hAnsi="Times New Roman" w:cs="Times New Roman"/>
          <w:b/>
          <w:sz w:val="18"/>
          <w:szCs w:val="18"/>
        </w:rPr>
        <w:t>Для лот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9B20EC">
        <w:rPr>
          <w:rFonts w:ascii="Times New Roman" w:hAnsi="Times New Roman" w:cs="Times New Roman"/>
          <w:b/>
          <w:sz w:val="18"/>
          <w:szCs w:val="18"/>
        </w:rPr>
        <w:t xml:space="preserve"> № </w:t>
      </w:r>
      <w:r>
        <w:rPr>
          <w:rFonts w:ascii="Times New Roman" w:hAnsi="Times New Roman" w:cs="Times New Roman"/>
          <w:b/>
          <w:sz w:val="18"/>
          <w:szCs w:val="18"/>
        </w:rPr>
        <w:t xml:space="preserve">3  </w:t>
      </w:r>
      <w:r w:rsidRPr="00B41DF8">
        <w:rPr>
          <w:rFonts w:ascii="Times New Roman" w:hAnsi="Times New Roman" w:cs="Times New Roman"/>
          <w:b/>
          <w:sz w:val="18"/>
          <w:szCs w:val="18"/>
        </w:rPr>
        <w:t>Ж-</w:t>
      </w: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B41DF8">
        <w:rPr>
          <w:rFonts w:ascii="Times New Roman" w:hAnsi="Times New Roman" w:cs="Times New Roman"/>
          <w:b/>
          <w:sz w:val="18"/>
          <w:szCs w:val="18"/>
        </w:rPr>
        <w:t xml:space="preserve">. Зона застройки малоэтажными жилыми домами </w:t>
      </w:r>
    </w:p>
    <w:p w:rsidR="000C1346" w:rsidRPr="002C0A67" w:rsidRDefault="000C1346" w:rsidP="000C1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1DF8">
        <w:rPr>
          <w:rFonts w:ascii="Times New Roman" w:hAnsi="Times New Roman" w:cs="Times New Roman"/>
          <w:sz w:val="18"/>
          <w:szCs w:val="18"/>
        </w:rPr>
        <w:t xml:space="preserve">Виды разрешенного использования земельных </w:t>
      </w:r>
      <w:r w:rsidRPr="002C0A67">
        <w:rPr>
          <w:rFonts w:ascii="Times New Roman" w:hAnsi="Times New Roman" w:cs="Times New Roman"/>
          <w:sz w:val="18"/>
          <w:szCs w:val="18"/>
        </w:rPr>
        <w:t>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Код вида</w:t>
            </w:r>
          </w:p>
        </w:tc>
      </w:tr>
      <w:tr w:rsidR="000C1346" w:rsidRPr="00903D2A" w:rsidTr="000C134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2.1.1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2.2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03D2A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2.3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03D2A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</w:t>
            </w:r>
            <w:r w:rsidRPr="00903D2A">
              <w:rPr>
                <w:sz w:val="18"/>
                <w:szCs w:val="18"/>
              </w:rPr>
              <w:lastRenderedPageBreak/>
              <w:t>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3.1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3.2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3.3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3.4.1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3.5.1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12.0*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13.0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огородничества</w:t>
            </w:r>
          </w:p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0C1346" w:rsidRPr="00903D2A" w:rsidTr="000C134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E94CE1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1" w:rsidRPr="00903D2A" w:rsidRDefault="00E94CE1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Административные здания организации, обеспечивающих предоставление коммунальных услуг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1" w:rsidRPr="00903D2A" w:rsidRDefault="00E94CE1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1" w:rsidRPr="00903D2A" w:rsidRDefault="00E94CE1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3.1.2</w:t>
            </w:r>
          </w:p>
        </w:tc>
      </w:tr>
      <w:tr w:rsidR="00E94CE1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1" w:rsidRDefault="00E94CE1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1" w:rsidRDefault="00E94CE1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объектов ка</w:t>
            </w:r>
            <w:r w:rsidR="007B63C3">
              <w:rPr>
                <w:sz w:val="18"/>
                <w:szCs w:val="18"/>
              </w:rPr>
              <w:t>питального строительства, предоставлением им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1" w:rsidRDefault="00E94CE1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3.6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</w:t>
            </w:r>
            <w:r w:rsidRPr="00903D2A">
              <w:rPr>
                <w:sz w:val="18"/>
                <w:szCs w:val="18"/>
              </w:rPr>
              <w:lastRenderedPageBreak/>
              <w:t>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3.7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3.10.1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4.1</w:t>
            </w:r>
          </w:p>
        </w:tc>
      </w:tr>
      <w:tr w:rsidR="007B63C3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C3" w:rsidRPr="00903D2A" w:rsidRDefault="007B63C3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Рынки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C3" w:rsidRDefault="007B63C3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</w:t>
            </w:r>
            <w:r>
              <w:rPr>
                <w:sz w:val="18"/>
                <w:szCs w:val="18"/>
              </w:rPr>
              <w:t xml:space="preserve"> капитального строительства, сооружения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</w:t>
            </w:r>
          </w:p>
          <w:p w:rsidR="007B63C3" w:rsidRPr="00903D2A" w:rsidRDefault="007B63C3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C3" w:rsidRPr="00903D2A" w:rsidRDefault="007B63C3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4.7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903D2A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4.9</w:t>
            </w:r>
          </w:p>
        </w:tc>
      </w:tr>
      <w:tr w:rsidR="000C1346" w:rsidRPr="00903D2A" w:rsidTr="000C134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0C1346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коммунальных услуг</w:t>
            </w:r>
          </w:p>
          <w:p w:rsidR="000C1346" w:rsidRPr="00903D2A" w:rsidRDefault="000C1346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Default="000C1346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 xml:space="preserve">Размещение </w:t>
            </w:r>
            <w:r>
              <w:rPr>
                <w:sz w:val="18"/>
                <w:szCs w:val="18"/>
              </w:rPr>
              <w:t>зданий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      </w:r>
            <w:proofErr w:type="gramEnd"/>
          </w:p>
          <w:p w:rsidR="000C1346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(минимальные и (или) максимальные) размеры земельного участка:</w:t>
            </w:r>
          </w:p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Размеры земельных участков для котельных, работающих на твердом топливе – 0,7-4,3 га в зависимости от мощности.</w:t>
            </w:r>
          </w:p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Размеры земельных участков для котельных, работающих на</w:t>
            </w:r>
            <w:r>
              <w:rPr>
                <w:sz w:val="18"/>
                <w:szCs w:val="18"/>
              </w:rPr>
              <w:t xml:space="preserve"> газовом топливе, - 0,3-3,5 га в зависимости от мощности.</w:t>
            </w:r>
          </w:p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Размеры земельных участков для</w:t>
            </w:r>
            <w:r>
              <w:rPr>
                <w:sz w:val="18"/>
                <w:szCs w:val="18"/>
              </w:rPr>
              <w:t xml:space="preserve"> жилищно-эксплуатационных организаций:</w:t>
            </w:r>
          </w:p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микрорайон – 0,3 га (1 объект на 20 тыс. жителей);</w:t>
            </w:r>
          </w:p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Диспетчерский пункт (из расчета 1 объект на 5 км городских коллекторов), площадью в 120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(0,04-0,05 га).</w:t>
            </w:r>
          </w:p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Ремонтно-производственная база (из  расчета 1 объект на каждые 100 км городских коллекторов), площадью в 1500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(1,0 га на объект).</w:t>
            </w:r>
          </w:p>
          <w:p w:rsidR="005E62C7" w:rsidRPr="00903D2A" w:rsidRDefault="005E62C7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Производственное помещение для обслуживания внутриквартирных коллекторов (из расчета 1 объект на каждый административный округ), площадью в 500-700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(0,25-0,3 га).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903D2A" w:rsidRDefault="005E62C7" w:rsidP="000C134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3.1.1</w:t>
            </w:r>
          </w:p>
        </w:tc>
      </w:tr>
      <w:tr w:rsidR="005E62C7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(территории) общего пользования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C7" w:rsidRPr="005E62C7" w:rsidRDefault="005E62C7" w:rsidP="005E62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кодами 12.0.1-12.0.2 (классификатор видов разрешенного использования земельных участков, утвержденный Приказом Росреестра от 10.11.2020 </w:t>
            </w:r>
            <w:r>
              <w:rPr>
                <w:sz w:val="18"/>
                <w:szCs w:val="18"/>
                <w:lang w:val="en-US"/>
              </w:rPr>
              <w:t>N</w:t>
            </w:r>
            <w:r w:rsidRPr="005E62C7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/0412 (ред. 30.07.2021)).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5E62C7" w:rsidRPr="00903D2A" w:rsidTr="000C134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Специальная деятельность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C7" w:rsidRPr="005E62C7" w:rsidRDefault="005E62C7" w:rsidP="00E94C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5E62C7">
              <w:rPr>
                <w:sz w:val="18"/>
                <w:szCs w:val="18"/>
              </w:rPr>
              <w:t>Размещение, хранение, захоронение</w:t>
            </w:r>
            <w:r>
              <w:rPr>
                <w:sz w:val="18"/>
                <w:szCs w:val="18"/>
              </w:rPr>
              <w:t>, утилизация, накопление, обработка, обезвреживание отходов производства и потребления, медицинских отходов, биологических отходов, ра</w:t>
            </w:r>
            <w:r w:rsidR="00E94CE1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иоактивных отходов, веществ, разру</w:t>
            </w:r>
            <w:r w:rsidR="00E94CE1">
              <w:rPr>
                <w:sz w:val="18"/>
                <w:szCs w:val="18"/>
              </w:rPr>
              <w:t>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C7" w:rsidRDefault="005E62C7" w:rsidP="000C13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</w:tbl>
    <w:p w:rsidR="000C1346" w:rsidRDefault="000C1346" w:rsidP="000C134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0C1346" w:rsidRPr="00340872" w:rsidRDefault="000C1346" w:rsidP="000C134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ля </w:t>
      </w:r>
      <w:r w:rsidR="00E44FEF">
        <w:rPr>
          <w:rFonts w:ascii="Times New Roman" w:hAnsi="Times New Roman" w:cs="Times New Roman"/>
          <w:i/>
          <w:sz w:val="18"/>
          <w:szCs w:val="18"/>
        </w:rPr>
        <w:t>ведения личного подсобного хозяйства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C1346" w:rsidRPr="00130A2E" w:rsidTr="000C1346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1346" w:rsidRPr="00130A2E" w:rsidTr="000C134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C1346" w:rsidRPr="00130A2E" w:rsidTr="000C1346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130A2E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346" w:rsidRPr="00130A2E" w:rsidTr="000C13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E44FEF" w:rsidRDefault="00E44FEF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E44FEF" w:rsidRDefault="00E44FEF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E44FEF" w:rsidRDefault="000C1346" w:rsidP="00E44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="00E44FEF" w:rsidRPr="00E44FEF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 xml:space="preserve">м2 – </w:t>
            </w:r>
            <w:r w:rsidR="00E44FEF" w:rsidRPr="00E44FEF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4FEF" w:rsidRPr="00E44FEF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E44FEF" w:rsidRDefault="00E44FEF" w:rsidP="00E44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 xml:space="preserve">От границ земельного участка до основного строения – не менее 3 м, до хоз.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 xml:space="preserve">остроек,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строений, сооружений вспомогательного использования – не менее 1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E44FEF" w:rsidRDefault="00E44FEF" w:rsidP="000C1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этажа; Предельная высота зданий, строений сооружений (за исключением жилого дома) – 8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46" w:rsidRPr="00E44FEF" w:rsidRDefault="00E44FEF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C1346" w:rsidRPr="00E44FEF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E44FEF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46" w:rsidRPr="00E44FEF" w:rsidRDefault="000C1346" w:rsidP="000C1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C1346" w:rsidRDefault="000C1346" w:rsidP="000C134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0C1346" w:rsidTr="000C1346">
        <w:tc>
          <w:tcPr>
            <w:tcW w:w="1586" w:type="dxa"/>
            <w:vMerge w:val="restart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0C1346" w:rsidTr="000C1346">
        <w:tc>
          <w:tcPr>
            <w:tcW w:w="1586" w:type="dxa"/>
            <w:vMerge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0C1346" w:rsidRPr="00E210BF" w:rsidRDefault="000C1346" w:rsidP="000C1346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0C1346" w:rsidTr="000C1346">
        <w:tc>
          <w:tcPr>
            <w:tcW w:w="1586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0C1346" w:rsidTr="000C1346">
        <w:tc>
          <w:tcPr>
            <w:tcW w:w="1586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0C1346" w:rsidRPr="00E210BF" w:rsidRDefault="000C1346" w:rsidP="000C134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E8432D" w:rsidRPr="00E8432D" w:rsidRDefault="00E8432D" w:rsidP="00E8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E8432D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</w:p>
    <w:p w:rsidR="00E8432D" w:rsidRDefault="00E8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B7ECD" w:rsidRPr="00FF7243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F724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FF7243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85893" w:rsidRPr="00685893" w:rsidRDefault="00C468A8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685893">
        <w:rPr>
          <w:rFonts w:ascii="Times New Roman" w:hAnsi="Times New Roman" w:cs="Times New Roman"/>
          <w:b/>
          <w:sz w:val="18"/>
          <w:szCs w:val="18"/>
        </w:rPr>
        <w:t>1</w:t>
      </w:r>
      <w:r w:rsidRPr="007A445E">
        <w:rPr>
          <w:rFonts w:ascii="Times New Roman" w:hAnsi="Times New Roman" w:cs="Times New Roman"/>
          <w:b/>
          <w:sz w:val="18"/>
          <w:szCs w:val="18"/>
        </w:rPr>
        <w:t>:</w:t>
      </w:r>
      <w:r w:rsidR="009A72BB" w:rsidRPr="007A44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2021-08-13; реквизиты документа-основания: постановление "О порядке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Содержание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использования объектов недвижимости в границах охранной зоны ВЛ-0,4кВ от TП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-49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в соответствии с Постановлением Правительства РФ от 24.02.2009 №160</w:t>
      </w:r>
      <w:proofErr w:type="gramStart"/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Cambria Math" w:eastAsia="TimesNewRomanPSMT" w:hAnsi="Cambria Math" w:cs="Cambria Math"/>
          <w:sz w:val="18"/>
          <w:szCs w:val="18"/>
        </w:rPr>
        <w:t>≪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685893" w:rsidRPr="00685893">
        <w:rPr>
          <w:rFonts w:ascii="Cambria Math" w:eastAsia="TimesNewRomanPSMT" w:hAnsi="Cambria Math" w:cs="Cambria Math"/>
          <w:sz w:val="18"/>
          <w:szCs w:val="18"/>
        </w:rPr>
        <w:t>≫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59:18-6.34; Вид объекта реестра границ: Зона с особыми условиями использования территории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ВЛ-0,4кВ от TП-49; </w:t>
      </w:r>
    </w:p>
    <w:p w:rsidR="00996829" w:rsidRPr="00685893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8589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685893" w:rsidRPr="00685893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85893" w:rsidRPr="00685893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>О</w:t>
      </w:r>
      <w:r w:rsidRPr="00685893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8589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2021-08-13; реквизиты документа-основания: постановление "Об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85893">
        <w:rPr>
          <w:rFonts w:ascii="Times New Roman" w:eastAsia="TimesNewRomanPSMT" w:hAnsi="Times New Roman" w:cs="Times New Roman"/>
          <w:sz w:val="18"/>
          <w:szCs w:val="18"/>
        </w:rPr>
        <w:t>установлении публичного сервитута" от 30.03.2021 № 573 выдан: Администрация Добрянского городского округа;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85893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Публичный сервитут в целях размещения ВЛ-0.4кВ от TП-10049, входящей в состав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85893">
        <w:rPr>
          <w:rFonts w:ascii="Times New Roman" w:eastAsia="TimesNewRomanPSMT" w:hAnsi="Times New Roman" w:cs="Times New Roman"/>
          <w:sz w:val="18"/>
          <w:szCs w:val="18"/>
        </w:rPr>
        <w:t>электросетевого комплекса "</w:t>
      </w:r>
      <w:proofErr w:type="spellStart"/>
      <w:r w:rsidRPr="00685893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685893">
        <w:rPr>
          <w:rFonts w:ascii="Times New Roman" w:eastAsia="TimesNewRomanPSMT" w:hAnsi="Times New Roman" w:cs="Times New Roman"/>
          <w:sz w:val="18"/>
          <w:szCs w:val="18"/>
        </w:rPr>
        <w:t>", сроком на 49 лет; Реестровый номер границы: 59:18-6.1309; Вид объекта реестра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85893">
        <w:rPr>
          <w:rFonts w:ascii="Times New Roman" w:eastAsia="TimesNewRomanPSMT" w:hAnsi="Times New Roman" w:cs="Times New Roman"/>
          <w:sz w:val="18"/>
          <w:szCs w:val="18"/>
        </w:rPr>
        <w:t>границ: Зона с особыми условиями использования территории; Вид зоны по документу: Публичный сервитут в целях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85893">
        <w:rPr>
          <w:rFonts w:ascii="Times New Roman" w:eastAsia="TimesNewRomanPSMT" w:hAnsi="Times New Roman" w:cs="Times New Roman"/>
          <w:sz w:val="18"/>
          <w:szCs w:val="18"/>
        </w:rPr>
        <w:t>размещения ВЛ-0.4кВ от TП-10049, входящей в состав электросетевого комплекса "</w:t>
      </w:r>
      <w:proofErr w:type="spellStart"/>
      <w:r w:rsidRPr="00685893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685893">
        <w:rPr>
          <w:rFonts w:ascii="Times New Roman" w:eastAsia="TimesNewRomanPSMT" w:hAnsi="Times New Roman" w:cs="Times New Roman"/>
          <w:sz w:val="18"/>
          <w:szCs w:val="18"/>
        </w:rPr>
        <w:t xml:space="preserve">"; </w:t>
      </w:r>
    </w:p>
    <w:p w:rsidR="00685893" w:rsidRPr="00685893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8589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685893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685893" w:rsidRPr="00685893" w:rsidRDefault="00D0457B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lastRenderedPageBreak/>
        <w:t>Лот №</w:t>
      </w:r>
      <w:r w:rsidR="00685893">
        <w:rPr>
          <w:rFonts w:ascii="Times New Roman" w:hAnsi="Times New Roman" w:cs="Times New Roman"/>
          <w:b/>
          <w:sz w:val="18"/>
          <w:szCs w:val="18"/>
        </w:rPr>
        <w:t>2</w:t>
      </w:r>
      <w:r w:rsidRPr="007A445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2021-05-26; реквизиты документа-основания: постановление</w:t>
      </w:r>
      <w:proofErr w:type="gramStart"/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Cambria Math" w:eastAsia="TimesNewRomanPSMT" w:hAnsi="Cambria Math" w:cs="Cambria Math"/>
          <w:sz w:val="18"/>
          <w:szCs w:val="18"/>
        </w:rPr>
        <w:t>≪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 порядке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685893" w:rsidRPr="00685893">
        <w:rPr>
          <w:rFonts w:ascii="Cambria Math" w:eastAsia="TimesNewRomanPSMT" w:hAnsi="Cambria Math" w:cs="Cambria Math"/>
          <w:sz w:val="18"/>
          <w:szCs w:val="18"/>
        </w:rPr>
        <w:t>≫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Содержание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Постановление от 24.02.2009 №160</w:t>
      </w:r>
      <w:proofErr w:type="gramStart"/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Cambria Math" w:eastAsia="TimesNewRomanPSMT" w:hAnsi="Cambria Math" w:cs="Cambria Math"/>
          <w:sz w:val="18"/>
          <w:szCs w:val="18"/>
        </w:rPr>
        <w:t>≪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</w:t>
      </w:r>
      <w:r w:rsidR="0068589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685893" w:rsidRPr="00685893">
        <w:rPr>
          <w:rFonts w:ascii="Cambria Math" w:eastAsia="TimesNewRomanPSMT" w:hAnsi="Cambria Math" w:cs="Cambria Math"/>
          <w:sz w:val="18"/>
          <w:szCs w:val="18"/>
        </w:rPr>
        <w:t>≫</w:t>
      </w:r>
      <w:r w:rsidR="00685893" w:rsidRPr="00685893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685893" w:rsidRPr="00685893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85893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59:18-6.88; Вид объекта реестра границ: Зона с особыми условиями использования территории;</w:t>
      </w:r>
    </w:p>
    <w:p w:rsidR="00685893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85893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68589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685893">
        <w:rPr>
          <w:rFonts w:ascii="Times New Roman" w:eastAsia="TimesNewRomanPSMT" w:hAnsi="Times New Roman" w:cs="Times New Roman"/>
          <w:sz w:val="18"/>
          <w:szCs w:val="18"/>
        </w:rPr>
        <w:t xml:space="preserve"> 6 КВ ОТ ПС КРИВОЕ ДО Н.П. МУТНАЯ; </w:t>
      </w:r>
    </w:p>
    <w:p w:rsidR="0024008D" w:rsidRDefault="00685893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8589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</w:t>
      </w:r>
      <w:r w:rsidRPr="0068589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685893">
        <w:rPr>
          <w:rFonts w:ascii="Times New Roman" w:eastAsia="TimesNewRomanPSMT" w:hAnsi="Times New Roman" w:cs="Times New Roman"/>
          <w:b/>
          <w:i/>
          <w:sz w:val="18"/>
          <w:szCs w:val="18"/>
        </w:rPr>
        <w:t>коммуникаций</w:t>
      </w:r>
    </w:p>
    <w:p w:rsidR="001B06A5" w:rsidRPr="001B06A5" w:rsidRDefault="001B06A5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18"/>
          <w:szCs w:val="18"/>
        </w:rPr>
      </w:pPr>
      <w:r>
        <w:rPr>
          <w:rFonts w:ascii="Times New Roman" w:eastAsia="TimesNewRomanPSMT" w:hAnsi="Times New Roman" w:cs="Times New Roman"/>
          <w:i/>
          <w:sz w:val="18"/>
          <w:szCs w:val="18"/>
        </w:rPr>
        <w:t xml:space="preserve">В ходе фактического осмотра земельного участка установлено: </w:t>
      </w:r>
    </w:p>
    <w:p w:rsidR="001B06A5" w:rsidRDefault="001B06A5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18"/>
          <w:szCs w:val="18"/>
        </w:rPr>
      </w:pPr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- </w:t>
      </w:r>
      <w:r>
        <w:rPr>
          <w:rFonts w:ascii="Times New Roman" w:eastAsia="TimesNewRomanPSMT" w:hAnsi="Times New Roman" w:cs="Times New Roman"/>
          <w:i/>
          <w:sz w:val="18"/>
          <w:szCs w:val="18"/>
        </w:rPr>
        <w:t>земельный участок с северной и восточной стороны огорожен;</w:t>
      </w:r>
    </w:p>
    <w:p w:rsidR="001B06A5" w:rsidRPr="001B06A5" w:rsidRDefault="001B06A5" w:rsidP="0068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18"/>
          <w:szCs w:val="18"/>
        </w:rPr>
      </w:pPr>
      <w:r>
        <w:rPr>
          <w:rFonts w:ascii="Times New Roman" w:eastAsia="TimesNewRomanPSMT" w:hAnsi="Times New Roman" w:cs="Times New Roman"/>
          <w:i/>
          <w:sz w:val="18"/>
          <w:szCs w:val="18"/>
        </w:rPr>
        <w:t>- на земельном участке расположены три деревянных строения.</w:t>
      </w:r>
    </w:p>
    <w:p w:rsidR="001C58C9" w:rsidRPr="007A445E" w:rsidRDefault="001C58C9" w:rsidP="0024008D">
      <w:pPr>
        <w:spacing w:after="0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6F79C5" w:rsidRPr="00F454D7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454D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454D7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454D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454D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454D7">
        <w:rPr>
          <w:rFonts w:ascii="Times New Roman" w:hAnsi="Times New Roman" w:cs="Times New Roman"/>
          <w:sz w:val="18"/>
          <w:szCs w:val="18"/>
        </w:rPr>
        <w:t xml:space="preserve">УФК по Пермскому краю (Управление имущественных и земельных отношений администрации Добрянского городского </w:t>
      </w:r>
      <w:r w:rsidR="00D11AAE" w:rsidRPr="00334A04">
        <w:rPr>
          <w:rFonts w:ascii="Times New Roman" w:hAnsi="Times New Roman" w:cs="Times New Roman"/>
          <w:sz w:val="18"/>
          <w:szCs w:val="18"/>
        </w:rPr>
        <w:t>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714DD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7553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755339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>
        <w:rPr>
          <w:rFonts w:ascii="Times New Roman" w:hAnsi="Times New Roman" w:cs="Times New Roman"/>
          <w:sz w:val="18"/>
          <w:szCs w:val="18"/>
        </w:rPr>
        <w:t xml:space="preserve">: </w:t>
      </w:r>
      <w:r w:rsidR="007553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755339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0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0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334A04">
        <w:rPr>
          <w:rFonts w:ascii="Times New Roman" w:hAnsi="Times New Roman" w:cs="Times New Roman"/>
          <w:sz w:val="18"/>
          <w:szCs w:val="18"/>
        </w:rPr>
        <w:t>ранее,</w:t>
      </w:r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3C5E56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www.torgi.gov.ru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www.dobrraion.ru</w:t>
      </w:r>
      <w:r w:rsidRPr="00DC4C8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DC4C82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DC4C82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DC4C82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446103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334A04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755339"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/>
          <w:sz w:val="18"/>
          <w:szCs w:val="18"/>
        </w:rPr>
        <w:t>.</w:t>
      </w:r>
      <w:r w:rsidR="00E36400">
        <w:rPr>
          <w:rFonts w:ascii="Times New Roman" w:hAnsi="Times New Roman" w:cs="Times New Roman"/>
          <w:sz w:val="18"/>
          <w:szCs w:val="18"/>
        </w:rPr>
        <w:t>1</w:t>
      </w:r>
      <w:r w:rsidR="00755339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</w:t>
      </w:r>
      <w:r w:rsidR="00755339">
        <w:rPr>
          <w:rFonts w:ascii="Times New Roman" w:hAnsi="Times New Roman" w:cs="Times New Roman"/>
          <w:sz w:val="18"/>
          <w:szCs w:val="18"/>
        </w:rPr>
        <w:t xml:space="preserve"> 3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  <w:bookmarkStart w:id="1" w:name="_GoBack"/>
      <w:bookmarkEnd w:id="1"/>
    </w:p>
    <w:sectPr w:rsidR="00425AA1" w:rsidRPr="00127B04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90AC0"/>
    <w:rsid w:val="00290F22"/>
    <w:rsid w:val="002920D2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9"/>
    <w:rsid w:val="004279C4"/>
    <w:rsid w:val="004400AE"/>
    <w:rsid w:val="00440C73"/>
    <w:rsid w:val="00443B02"/>
    <w:rsid w:val="004452D5"/>
    <w:rsid w:val="00446103"/>
    <w:rsid w:val="0045680D"/>
    <w:rsid w:val="004612CC"/>
    <w:rsid w:val="004628B0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D6EA4"/>
    <w:rsid w:val="005E3C9D"/>
    <w:rsid w:val="005E606E"/>
    <w:rsid w:val="005E62C7"/>
    <w:rsid w:val="005E666B"/>
    <w:rsid w:val="005E7493"/>
    <w:rsid w:val="005F0093"/>
    <w:rsid w:val="005F0872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5934"/>
    <w:rsid w:val="006B6D0E"/>
    <w:rsid w:val="006B77F6"/>
    <w:rsid w:val="006B7E24"/>
    <w:rsid w:val="006C2F61"/>
    <w:rsid w:val="006C60D9"/>
    <w:rsid w:val="006C718F"/>
    <w:rsid w:val="006D4CDC"/>
    <w:rsid w:val="006D4F23"/>
    <w:rsid w:val="006D5D6B"/>
    <w:rsid w:val="006E0E94"/>
    <w:rsid w:val="006E1B03"/>
    <w:rsid w:val="006E3879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3A96"/>
    <w:rsid w:val="00773B57"/>
    <w:rsid w:val="00780C46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2A06"/>
    <w:rsid w:val="00883A04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6EA"/>
    <w:rsid w:val="008E3D7A"/>
    <w:rsid w:val="008E5535"/>
    <w:rsid w:val="008E5717"/>
    <w:rsid w:val="008E5E58"/>
    <w:rsid w:val="008E69DA"/>
    <w:rsid w:val="008E6E45"/>
    <w:rsid w:val="008F4382"/>
    <w:rsid w:val="008F7528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712C3"/>
    <w:rsid w:val="009770E2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81E69"/>
    <w:rsid w:val="00A81F3E"/>
    <w:rsid w:val="00A825A4"/>
    <w:rsid w:val="00A910EC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0EAB"/>
    <w:rsid w:val="00B41DF8"/>
    <w:rsid w:val="00B47A6E"/>
    <w:rsid w:val="00B524EC"/>
    <w:rsid w:val="00B5388D"/>
    <w:rsid w:val="00B54B78"/>
    <w:rsid w:val="00B60037"/>
    <w:rsid w:val="00B61D46"/>
    <w:rsid w:val="00B677C0"/>
    <w:rsid w:val="00B71016"/>
    <w:rsid w:val="00B721CF"/>
    <w:rsid w:val="00B76EDB"/>
    <w:rsid w:val="00B80B12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4447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3682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6486"/>
    <w:rsid w:val="00F5739E"/>
    <w:rsid w:val="00F5789E"/>
    <w:rsid w:val="00F63D20"/>
    <w:rsid w:val="00F70391"/>
    <w:rsid w:val="00F71D87"/>
    <w:rsid w:val="00F7463B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82BE-764F-46A0-A7C2-A6A564C8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7049</TotalTime>
  <Pages>15</Pages>
  <Words>9879</Words>
  <Characters>56313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66060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368</cp:revision>
  <cp:lastPrinted>2020-03-12T10:27:00Z</cp:lastPrinted>
  <dcterms:created xsi:type="dcterms:W3CDTF">2020-03-12T10:15:00Z</dcterms:created>
  <dcterms:modified xsi:type="dcterms:W3CDTF">2021-11-12T11:28:00Z</dcterms:modified>
</cp:coreProperties>
</file>