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3B54E6">
        <w:rPr>
          <w:rFonts w:ascii="Times New Roman" w:hAnsi="Times New Roman" w:cs="Times New Roman"/>
          <w:b/>
          <w:sz w:val="20"/>
          <w:szCs w:val="20"/>
        </w:rPr>
        <w:t>по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 xml:space="preserve">участков, </w:t>
      </w:r>
      <w:r w:rsidR="003B54E6" w:rsidRPr="003B54E6">
        <w:rPr>
          <w:rFonts w:ascii="Times New Roman" w:hAnsi="Times New Roman" w:cs="Times New Roman"/>
          <w:b/>
          <w:sz w:val="20"/>
          <w:szCs w:val="20"/>
        </w:rPr>
        <w:t>находящихся в государственной или муниципальной собственности</w:t>
      </w:r>
      <w:r w:rsidR="003B54E6">
        <w:rPr>
          <w:rFonts w:ascii="Times New Roman" w:hAnsi="Times New Roman" w:cs="Times New Roman"/>
          <w:b/>
          <w:sz w:val="20"/>
          <w:szCs w:val="20"/>
        </w:rPr>
        <w:t>,</w:t>
      </w:r>
      <w:r w:rsidR="003B54E6" w:rsidRPr="003B54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83A04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(организатор торгов) сообщает о проведении открытого аукциона </w:t>
      </w:r>
      <w:r w:rsidR="003B54E6">
        <w:rPr>
          <w:rFonts w:ascii="Times New Roman" w:hAnsi="Times New Roman" w:cs="Times New Roman"/>
          <w:sz w:val="20"/>
          <w:szCs w:val="20"/>
        </w:rPr>
        <w:t>по</w:t>
      </w:r>
      <w:r w:rsidR="005F0093">
        <w:rPr>
          <w:rFonts w:ascii="Times New Roman" w:hAnsi="Times New Roman" w:cs="Times New Roman"/>
          <w:sz w:val="20"/>
          <w:szCs w:val="20"/>
        </w:rPr>
        <w:t xml:space="preserve">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19B9" w:rsidRPr="00883A04" w:rsidRDefault="000C1F12" w:rsidP="00C119B9">
      <w:pPr>
        <w:spacing w:after="0" w:line="240" w:lineRule="auto"/>
        <w:jc w:val="both"/>
      </w:pPr>
      <w:r w:rsidRPr="00883A04">
        <w:rPr>
          <w:rFonts w:ascii="Times New Roman" w:hAnsi="Times New Roman" w:cs="Times New Roman"/>
          <w:sz w:val="20"/>
          <w:szCs w:val="20"/>
        </w:rPr>
        <w:t xml:space="preserve">Условия аукциона утверждены постановлением администрации Добрянского </w:t>
      </w:r>
      <w:r w:rsidR="003B54E6" w:rsidRPr="00883A04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83A04">
        <w:rPr>
          <w:rFonts w:ascii="Times New Roman" w:hAnsi="Times New Roman" w:cs="Times New Roman"/>
          <w:sz w:val="20"/>
          <w:szCs w:val="20"/>
        </w:rPr>
        <w:t xml:space="preserve"> от </w:t>
      </w:r>
      <w:r w:rsidR="006C24EA">
        <w:rPr>
          <w:rFonts w:ascii="Times New Roman" w:hAnsi="Times New Roman" w:cs="Times New Roman"/>
          <w:sz w:val="20"/>
          <w:szCs w:val="20"/>
        </w:rPr>
        <w:t>11</w:t>
      </w:r>
      <w:r w:rsidR="00E35732" w:rsidRPr="00883A04">
        <w:rPr>
          <w:rFonts w:ascii="Times New Roman" w:hAnsi="Times New Roman" w:cs="Times New Roman"/>
          <w:sz w:val="20"/>
          <w:szCs w:val="20"/>
        </w:rPr>
        <w:t>.</w:t>
      </w:r>
      <w:r w:rsidR="006C24EA">
        <w:rPr>
          <w:rFonts w:ascii="Times New Roman" w:hAnsi="Times New Roman" w:cs="Times New Roman"/>
          <w:sz w:val="20"/>
          <w:szCs w:val="20"/>
        </w:rPr>
        <w:t>09</w:t>
      </w:r>
      <w:r w:rsidR="00E35732" w:rsidRPr="00883A04">
        <w:rPr>
          <w:rFonts w:ascii="Times New Roman" w:hAnsi="Times New Roman" w:cs="Times New Roman"/>
          <w:sz w:val="20"/>
          <w:szCs w:val="20"/>
        </w:rPr>
        <w:t>.20</w:t>
      </w:r>
      <w:r w:rsidR="00883A04" w:rsidRPr="00883A04">
        <w:rPr>
          <w:rFonts w:ascii="Times New Roman" w:hAnsi="Times New Roman" w:cs="Times New Roman"/>
          <w:sz w:val="20"/>
          <w:szCs w:val="20"/>
        </w:rPr>
        <w:t>20</w:t>
      </w:r>
      <w:r w:rsidR="00E35732" w:rsidRPr="00883A04">
        <w:rPr>
          <w:rFonts w:ascii="Times New Roman" w:hAnsi="Times New Roman" w:cs="Times New Roman"/>
          <w:sz w:val="20"/>
          <w:szCs w:val="20"/>
        </w:rPr>
        <w:t xml:space="preserve">г. </w:t>
      </w:r>
      <w:r w:rsidR="00E35732" w:rsidRPr="00883A04">
        <w:rPr>
          <w:rFonts w:ascii="Times New Roman" w:hAnsi="Times New Roman" w:cs="Times New Roman"/>
          <w:bCs/>
          <w:sz w:val="20"/>
          <w:szCs w:val="20"/>
        </w:rPr>
        <w:t>№</w:t>
      </w:r>
      <w:r w:rsidR="006C24EA">
        <w:rPr>
          <w:rFonts w:ascii="Times New Roman" w:hAnsi="Times New Roman" w:cs="Times New Roman"/>
          <w:bCs/>
          <w:sz w:val="20"/>
          <w:szCs w:val="20"/>
        </w:rPr>
        <w:t xml:space="preserve">  20-сэд</w:t>
      </w:r>
      <w:r w:rsidR="00E35732" w:rsidRPr="00883A04">
        <w:rPr>
          <w:rFonts w:ascii="Times New Roman" w:hAnsi="Times New Roman" w:cs="Times New Roman"/>
          <w:bCs/>
          <w:sz w:val="20"/>
          <w:szCs w:val="20"/>
        </w:rPr>
        <w:t>.</w:t>
      </w:r>
      <w:r w:rsidR="00C119B9" w:rsidRPr="00883A04">
        <w:t xml:space="preserve"> </w:t>
      </w:r>
    </w:p>
    <w:p w:rsidR="00B76EDB" w:rsidRPr="008E3D7A" w:rsidRDefault="00B76EDB" w:rsidP="00C119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83A04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83A04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</w:t>
      </w:r>
      <w:r w:rsidRPr="008E3D7A">
        <w:rPr>
          <w:rFonts w:ascii="Times New Roman" w:hAnsi="Times New Roman" w:cs="Times New Roman"/>
          <w:sz w:val="20"/>
          <w:szCs w:val="20"/>
        </w:rPr>
        <w:t xml:space="preserve">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E14C0B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4C0B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4C0B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E14C0B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2073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4C0B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6C24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 xml:space="preserve">, Управление имущественных и земельных отношений администрации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C1F12" w:rsidRPr="00C05273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</w:t>
      </w:r>
      <w:r w:rsidRPr="00C05273">
        <w:rPr>
          <w:rFonts w:ascii="Times New Roman" w:hAnsi="Times New Roman" w:cs="Times New Roman"/>
          <w:sz w:val="20"/>
          <w:szCs w:val="20"/>
        </w:rPr>
        <w:t>участникам внесенные задатки.</w:t>
      </w:r>
    </w:p>
    <w:p w:rsidR="001612B8" w:rsidRDefault="001612B8" w:rsidP="001612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5273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C05273">
        <w:rPr>
          <w:rFonts w:ascii="Times New Roman" w:hAnsi="Times New Roman" w:cs="Times New Roman"/>
          <w:sz w:val="20"/>
          <w:szCs w:val="20"/>
        </w:rPr>
        <w:t xml:space="preserve"> по лотам </w:t>
      </w:r>
      <w:r w:rsidR="00E0712F">
        <w:rPr>
          <w:rFonts w:ascii="Times New Roman" w:hAnsi="Times New Roman" w:cs="Times New Roman"/>
          <w:sz w:val="20"/>
          <w:szCs w:val="20"/>
        </w:rPr>
        <w:t xml:space="preserve">№1-16 </w:t>
      </w:r>
      <w:r w:rsidR="0006658A" w:rsidRPr="00C05273">
        <w:rPr>
          <w:rFonts w:ascii="Times New Roman" w:hAnsi="Times New Roman" w:cs="Times New Roman"/>
          <w:sz w:val="20"/>
          <w:szCs w:val="20"/>
        </w:rPr>
        <w:t>равной кадастровой стоимости</w:t>
      </w:r>
    </w:p>
    <w:p w:rsidR="000C1F12" w:rsidRPr="008E3D7A" w:rsidRDefault="000C1F12" w:rsidP="003B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Начальная</w:t>
            </w:r>
          </w:p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аукциона,</w:t>
            </w:r>
          </w:p>
          <w:p w:rsidR="00443B02" w:rsidRPr="00FE4C38" w:rsidRDefault="00443B02" w:rsidP="007F352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E0712F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E0712F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</w:t>
            </w: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59:18:0010109:917, общая площадь – 967,0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163142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8157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E0712F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E0712F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№2 </w:t>
            </w: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59:18:0010109:922, общая площадь – 1292,0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227663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11383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E0712F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E0712F" w:rsidP="009F34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59:18:0010109:923, общая площадь 1407,0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249953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12498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</w:tr>
      <w:tr w:rsidR="00E0712F" w:rsidRPr="00ED2F59" w:rsidTr="003B54E6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E0712F" w:rsidP="009F34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Лот №4</w:t>
            </w: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59:18:0010109:924, общая площадь – 1281,0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217821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10891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E0712F" w:rsidP="009F34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59:18:0010109:1061, общая площадь – 657,0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98418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4921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№6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59:18:0010109:1006, общая площадь – 581,0 кв.м., местоположение: Пермский край, город Добрянка, в районе бывшего ДСК, разрешенное использование – малоэтажная жилая застройка 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86458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4323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№7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59:18:0010109:921, общая площадь – 1369,0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241272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12064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№8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59:18:0010109:943, общая площадь – 1016,0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139730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6987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№9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59:18:0010109:920,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249508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12475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№10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59:18:0010109:978,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198702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9935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№11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59:18:0010109:944, общая площадь – 1254,0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171978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8599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№12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59:18:0010109:959, общая площадь – 1362,0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188718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9436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№13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59:18:0010109:947,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188146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9407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№14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59:18:0010109:945,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189966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9498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№15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59:18:0010109:1012, общая площадь – 922,0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137608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6880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E0712F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12F" w:rsidRPr="00FE4C38" w:rsidRDefault="007F3521" w:rsidP="009F34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12F" w:rsidRPr="00FE4C38">
              <w:rPr>
                <w:rFonts w:ascii="Times New Roman" w:hAnsi="Times New Roman" w:cs="Times New Roman"/>
                <w:b/>
                <w:sz w:val="20"/>
                <w:szCs w:val="20"/>
              </w:rPr>
              <w:t>№16</w:t>
            </w:r>
            <w:r w:rsidR="00E0712F" w:rsidRPr="00FE4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59:18:0010109:919, общая площадь – 1186,0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212483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10624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12F" w:rsidRPr="00FE4C38" w:rsidRDefault="00E0712F" w:rsidP="007F35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3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</w:tbl>
    <w:p w:rsidR="007843D4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7843D4" w:rsidRPr="007843D4">
        <w:rPr>
          <w:rFonts w:ascii="Times New Roman" w:hAnsi="Times New Roman" w:cs="Times New Roman"/>
          <w:sz w:val="20"/>
          <w:szCs w:val="20"/>
        </w:rPr>
        <w:t>находя</w:t>
      </w:r>
      <w:r w:rsidR="007843D4">
        <w:rPr>
          <w:rFonts w:ascii="Times New Roman" w:hAnsi="Times New Roman" w:cs="Times New Roman"/>
          <w:sz w:val="20"/>
          <w:szCs w:val="20"/>
        </w:rPr>
        <w:t>тся</w:t>
      </w:r>
      <w:r w:rsidR="007843D4" w:rsidRPr="007843D4">
        <w:rPr>
          <w:rFonts w:ascii="Times New Roman" w:hAnsi="Times New Roman" w:cs="Times New Roman"/>
          <w:sz w:val="20"/>
          <w:szCs w:val="20"/>
        </w:rPr>
        <w:t xml:space="preserve"> в государственной или муниципальной собственности </w:t>
      </w:r>
    </w:p>
    <w:p w:rsidR="00583F7A" w:rsidRPr="00EA1DAD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1DAD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1849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8D2">
        <w:rPr>
          <w:rFonts w:ascii="Times New Roman" w:hAnsi="Times New Roman" w:cs="Times New Roman"/>
          <w:sz w:val="20"/>
          <w:szCs w:val="20"/>
        </w:rPr>
        <w:lastRenderedPageBreak/>
        <w:t>И</w:t>
      </w:r>
      <w:r w:rsidR="00B76EDB" w:rsidRPr="00BF28D2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BF28D2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BF28D2">
        <w:rPr>
          <w:rFonts w:ascii="Times New Roman" w:hAnsi="Times New Roman" w:cs="Times New Roman"/>
          <w:b/>
          <w:sz w:val="20"/>
          <w:szCs w:val="20"/>
        </w:rPr>
        <w:t>лот</w:t>
      </w:r>
      <w:r w:rsidR="007843D4">
        <w:rPr>
          <w:rFonts w:ascii="Times New Roman" w:hAnsi="Times New Roman" w:cs="Times New Roman"/>
          <w:b/>
          <w:sz w:val="20"/>
          <w:szCs w:val="20"/>
        </w:rPr>
        <w:t>а:</w:t>
      </w:r>
    </w:p>
    <w:p w:rsidR="00BA54BD" w:rsidRPr="00E103E9" w:rsidRDefault="007843D4" w:rsidP="00DD6C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hAnsi="Times New Roman" w:cs="Times New Roman"/>
          <w:b/>
          <w:sz w:val="20"/>
          <w:szCs w:val="20"/>
        </w:rPr>
        <w:t xml:space="preserve">№1: </w:t>
      </w:r>
      <w:r w:rsidR="00DD6C85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DD6C85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DD6C85" w:rsidRPr="00E103E9" w:rsidRDefault="00DD6C85" w:rsidP="00DD6C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</w:t>
      </w:r>
      <w:r w:rsidR="00BA54BD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й газопровод высокого давления 1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категории </w:t>
      </w:r>
      <w:r w:rsidR="00BA54BD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от ГРС Добрянка-2 на г. Добрянка, собственником является АО «Газпром газораспределение Пермь» Ориентировочное расстояние:</w:t>
      </w:r>
      <w:r w:rsid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BA54BD"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805 </w:t>
      </w:r>
      <w:r w:rsidR="00BA54BD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DD6C85" w:rsidRPr="00E103E9" w:rsidRDefault="00DD6C85" w:rsidP="00DD6C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DD6C85" w:rsidRPr="00E103E9" w:rsidRDefault="00DD6C85" w:rsidP="00DD6C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3330FC" w:rsidRPr="00E103E9" w:rsidRDefault="00DD6C85" w:rsidP="00DD6C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</w:t>
      </w:r>
      <w:r w:rsidR="00F32D56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аспределительного оборудования.</w:t>
      </w:r>
    </w:p>
    <w:p w:rsidR="00BA54BD" w:rsidRPr="00E103E9" w:rsidRDefault="00DD6C85" w:rsidP="00DD6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BA54BD" w:rsidRPr="00E103E9" w:rsidRDefault="00DD6C85" w:rsidP="00DD6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A54BD" w:rsidRPr="00E103E9" w:rsidRDefault="00DD6C85" w:rsidP="00DD6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</w:t>
      </w:r>
      <w:r w:rsidR="00715125" w:rsidRPr="00E103E9">
        <w:rPr>
          <w:rFonts w:ascii="Times New Roman" w:eastAsia="Times New Roman" w:hAnsi="Times New Roman" w:cs="Times New Roman"/>
          <w:sz w:val="20"/>
          <w:szCs w:val="20"/>
        </w:rPr>
        <w:t>сетей электроснабжения АО «Энерго-Альянс»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5125" w:rsidRPr="00E103E9">
        <w:rPr>
          <w:rFonts w:ascii="Times New Roman" w:eastAsia="Times New Roman" w:hAnsi="Times New Roman" w:cs="Times New Roman"/>
          <w:sz w:val="20"/>
          <w:szCs w:val="20"/>
        </w:rPr>
        <w:t xml:space="preserve"> не имеется. Ближайшая точка подключения </w:t>
      </w:r>
      <w:r w:rsidR="00715125"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="00715125"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DD6C85" w:rsidRPr="00E103E9" w:rsidRDefault="00DD6C85" w:rsidP="00DD6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DD6C85" w:rsidRPr="00E103E9" w:rsidRDefault="00DD6C85" w:rsidP="00DD6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3330FC" w:rsidRPr="00E103E9" w:rsidRDefault="00DD6C85" w:rsidP="00DD6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</w:t>
      </w:r>
      <w:r w:rsidR="00F32D56" w:rsidRPr="00E103E9">
        <w:rPr>
          <w:rFonts w:ascii="Times New Roman" w:eastAsia="Times New Roman" w:hAnsi="Times New Roman" w:cs="Times New Roman"/>
          <w:sz w:val="20"/>
          <w:szCs w:val="20"/>
        </w:rPr>
        <w:t>ообладателю земельного участка.</w:t>
      </w:r>
    </w:p>
    <w:p w:rsidR="00BA54BD" w:rsidRPr="00E103E9" w:rsidRDefault="00DD6C85" w:rsidP="00DD6C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сетям водоснабжения </w:t>
      </w:r>
      <w:r w:rsidR="00715125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не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 w:rsidR="00715125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DD6C85" w:rsidRPr="00E103E9" w:rsidRDefault="00DD6C85" w:rsidP="00DD6C8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715125" w:rsidRPr="00E103E9" w:rsidRDefault="00715125" w:rsidP="0071512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9F34AD" w:rsidRDefault="00715125" w:rsidP="009F34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255342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5534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№2</w:t>
      </w:r>
      <w:r w:rsidR="002B3539" w:rsidRPr="002B35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расстояние: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795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lastRenderedPageBreak/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FE4C38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896A5B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A6BCC">
        <w:rPr>
          <w:rFonts w:ascii="Times New Roman" w:hAnsi="Times New Roman" w:cs="Times New Roman"/>
          <w:b/>
          <w:sz w:val="20"/>
          <w:szCs w:val="20"/>
        </w:rPr>
        <w:t xml:space="preserve">№3: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765</w:t>
      </w:r>
      <w:r w:rsidRPr="00E103E9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9D70C4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2B3539" w:rsidRPr="002B35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845</w:t>
      </w:r>
      <w:r w:rsidRPr="00E103E9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B446D7" w:rsidRPr="000025E8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9D70C4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5: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540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393257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393257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6: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расстояние: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285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393257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393257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7: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845</w:t>
      </w:r>
      <w:r w:rsidRPr="00E103E9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lastRenderedPageBreak/>
        <w:t>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393257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393257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8: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4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393257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393257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9: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850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DD42BC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DD42BC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10: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130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DD42BC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DD42BC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11</w:t>
      </w:r>
      <w:r w:rsidR="002B3539" w:rsidRPr="002B35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DD42BC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DD42BC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12: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35</w:t>
      </w:r>
      <w:r w:rsidRPr="00E103E9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DD42BC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DD42BC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13: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».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DD42BC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DD42BC" w:rsidP="002B3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14: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39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2B3539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Правительства Российской Федерации от 13.02.2006 N 83 утверждены Правила определения и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lastRenderedPageBreak/>
        <w:t>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B3539" w:rsidRPr="00E103E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B3539" w:rsidRPr="00E103E9" w:rsidRDefault="002B3539" w:rsidP="002B353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2B3539" w:rsidRPr="00E103E9" w:rsidRDefault="002B3539" w:rsidP="002B35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7A6BCC" w:rsidRDefault="002B3539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="000025E8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0025E8" w:rsidRPr="00E103E9" w:rsidRDefault="007A6BCC" w:rsidP="000025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15: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25E8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0025E8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>385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0025E8" w:rsidRPr="00E103E9" w:rsidRDefault="000025E8" w:rsidP="000025E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0025E8" w:rsidRPr="00E103E9" w:rsidRDefault="000025E8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7A6BCC" w:rsidRDefault="000025E8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участке составляет 1,9 Гкал/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0025E8" w:rsidRPr="00E103E9" w:rsidRDefault="007A6BCC" w:rsidP="000025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16: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25E8"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0025E8"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имеется. 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025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905 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метров.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сетей электроснабжения АО «Энерго-Альянс»  не имеется. Ближайшая точка подключения </w:t>
      </w:r>
      <w:r w:rsidRPr="003330FC">
        <w:rPr>
          <w:rFonts w:ascii="Times New Roman" w:eastAsia="Times New Roman" w:hAnsi="Times New Roman" w:cs="Times New Roman"/>
          <w:sz w:val="20"/>
          <w:szCs w:val="20"/>
        </w:rPr>
        <w:t xml:space="preserve">619 </w:t>
      </w:r>
      <w:r w:rsidRPr="00E103E9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103E9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0025E8" w:rsidRPr="00E103E9" w:rsidRDefault="000025E8" w:rsidP="0000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3E9">
        <w:rPr>
          <w:rFonts w:ascii="Times New Roman" w:eastAsia="Times New Roman" w:hAnsi="Times New Roman" w:cs="Times New Roman"/>
          <w:sz w:val="20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025E8" w:rsidRPr="00E103E9" w:rsidRDefault="000025E8" w:rsidP="00002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возможность подключения к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сетям водоснабжения  не имеется</w:t>
      </w: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0025E8" w:rsidRPr="00E103E9" w:rsidRDefault="000025E8" w:rsidP="000025E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Техническая  возможность подключения к централизованному </w:t>
      </w:r>
      <w:r w:rsidRPr="00E103E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теплоснабжению отсутствует.</w:t>
      </w:r>
    </w:p>
    <w:p w:rsidR="000025E8" w:rsidRPr="00E103E9" w:rsidRDefault="000025E8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0025E8" w:rsidRPr="00E103E9" w:rsidRDefault="000025E8" w:rsidP="000025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proofErr w:type="gramEnd"/>
      <w:r w:rsidRPr="00E103E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446D7" w:rsidRDefault="00B446D7" w:rsidP="000025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1F12" w:rsidRPr="00825704" w:rsidRDefault="004838A8" w:rsidP="00B446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704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62750C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50C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62750C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62750C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62750C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25C39" w:rsidRPr="00025C39" w:rsidRDefault="00025C39" w:rsidP="00025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5C39">
        <w:rPr>
          <w:rFonts w:ascii="Times New Roman" w:hAnsi="Times New Roman" w:cs="Times New Roman"/>
          <w:b/>
          <w:sz w:val="20"/>
          <w:szCs w:val="20"/>
        </w:rPr>
        <w:t>Для лотов №№</w:t>
      </w:r>
      <w:r w:rsidR="009F1D53">
        <w:rPr>
          <w:rFonts w:ascii="Times New Roman" w:hAnsi="Times New Roman" w:cs="Times New Roman"/>
          <w:b/>
          <w:sz w:val="20"/>
          <w:szCs w:val="20"/>
        </w:rPr>
        <w:t>1-16</w:t>
      </w:r>
      <w:r w:rsidRPr="00025C39">
        <w:rPr>
          <w:rFonts w:ascii="Times New Roman" w:hAnsi="Times New Roman" w:cs="Times New Roman"/>
          <w:b/>
          <w:sz w:val="20"/>
          <w:szCs w:val="20"/>
        </w:rPr>
        <w:t xml:space="preserve"> – Ж-2.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7ECD" w:rsidRPr="005B7ECD">
        <w:rPr>
          <w:rFonts w:ascii="Times New Roman" w:hAnsi="Times New Roman" w:cs="Times New Roman"/>
          <w:bCs/>
          <w:sz w:val="20"/>
          <w:szCs w:val="20"/>
        </w:rPr>
        <w:t>Зона застройки малоэтажными жилыми домами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основные виды разрешенного использования земельного участка:</w:t>
      </w:r>
    </w:p>
    <w:p w:rsidR="005B7ECD" w:rsidRPr="005B7ECD" w:rsidRDefault="005B7ECD" w:rsidP="004635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 xml:space="preserve">Малоэтажная жилая застройка (индивидуальное жилищное строительство). </w:t>
      </w:r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</w:t>
      </w:r>
      <w:bookmarkStart w:id="0" w:name="OLE_LINK74"/>
      <w:bookmarkStart w:id="1" w:name="OLE_LINK75"/>
      <w:r w:rsidRPr="005B7ECD">
        <w:rPr>
          <w:rFonts w:ascii="Times New Roman" w:hAnsi="Times New Roman" w:cs="Times New Roman"/>
          <w:i/>
          <w:sz w:val="20"/>
          <w:szCs w:val="20"/>
        </w:rPr>
        <w:t xml:space="preserve">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  <w:bookmarkEnd w:id="0"/>
      <w:bookmarkEnd w:id="1"/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Приусадебный участок личного подсобного хозяйства.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2" w:name="OLE_LINK80"/>
      <w:bookmarkStart w:id="3" w:name="OLE_LINK81"/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</w:r>
      <w:bookmarkStart w:id="4" w:name="OLE_LINK82"/>
      <w:bookmarkStart w:id="5" w:name="OLE_LINK83"/>
      <w:bookmarkStart w:id="6" w:name="OLE_LINK84"/>
      <w:bookmarkEnd w:id="2"/>
      <w:bookmarkEnd w:id="3"/>
      <w:r w:rsidRPr="005B7ECD">
        <w:rPr>
          <w:rFonts w:ascii="Times New Roman" w:hAnsi="Times New Roman" w:cs="Times New Roman"/>
          <w:i/>
          <w:sz w:val="20"/>
          <w:szCs w:val="20"/>
        </w:rPr>
        <w:t xml:space="preserve">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bookmarkEnd w:id="4"/>
      <w:bookmarkEnd w:id="5"/>
      <w:bookmarkEnd w:id="6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Блокированная жилая застройка.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7" w:name="OLE_LINK87"/>
      <w:bookmarkStart w:id="8" w:name="OLE_LINK88"/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</w:t>
      </w:r>
      <w:bookmarkEnd w:id="7"/>
      <w:bookmarkEnd w:id="8"/>
      <w:r w:rsidRPr="005B7ECD">
        <w:rPr>
          <w:rFonts w:ascii="Times New Roman" w:hAnsi="Times New Roman" w:cs="Times New Roman"/>
          <w:i/>
          <w:sz w:val="20"/>
          <w:szCs w:val="20"/>
        </w:rPr>
        <w:t xml:space="preserve">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Среднеэтажная жилая застройка.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9" w:name="OLE_LINK7"/>
      <w:bookmarkStart w:id="10" w:name="OLE_LINK8"/>
      <w:bookmarkStart w:id="11" w:name="OLE_LINK118"/>
      <w:bookmarkStart w:id="12" w:name="OLE_LINK119"/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</w:r>
      <w:bookmarkEnd w:id="9"/>
      <w:bookmarkEnd w:id="10"/>
      <w:bookmarkEnd w:id="11"/>
      <w:bookmarkEnd w:id="12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Коммунальное обслуживание.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5B7ECD" w:rsidRPr="005B7ECD" w:rsidRDefault="005B7ECD" w:rsidP="005B7EC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Обеспечение внутреннего правопорядка</w:t>
      </w:r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B7ECD">
        <w:rPr>
          <w:rFonts w:ascii="Times New Roman" w:hAnsi="Times New Roman" w:cs="Times New Roman"/>
          <w:bCs/>
          <w:i/>
          <w:sz w:val="20"/>
          <w:szCs w:val="20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</w:t>
      </w:r>
      <w:r w:rsidRPr="005B7ECD">
        <w:rPr>
          <w:rFonts w:ascii="Times New Roman" w:hAnsi="Times New Roman" w:cs="Times New Roman"/>
          <w:bCs/>
          <w:i/>
          <w:sz w:val="20"/>
          <w:szCs w:val="20"/>
        </w:rPr>
        <w:lastRenderedPageBreak/>
        <w:t>объектов гражданской обороны, за исключением объектов гражданской обороны, являющихся частями производственных зданий.</w:t>
      </w:r>
    </w:p>
    <w:p w:rsidR="005B7ECD" w:rsidRPr="005B7ECD" w:rsidRDefault="005B7ECD" w:rsidP="005B7EC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B7ECD">
        <w:rPr>
          <w:rFonts w:ascii="Times New Roman" w:hAnsi="Times New Roman" w:cs="Times New Roman"/>
          <w:bCs/>
          <w:i/>
          <w:sz w:val="20"/>
          <w:szCs w:val="20"/>
          <w:u w:val="single"/>
        </w:rPr>
        <w:t>Земельные участки (территории) общего пользования</w:t>
      </w:r>
      <w:r w:rsidRPr="005B7EC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</w:t>
      </w:r>
      <w:r w:rsidR="004635E3">
        <w:rPr>
          <w:rFonts w:ascii="Times New Roman" w:hAnsi="Times New Roman" w:cs="Times New Roman"/>
          <w:i/>
          <w:sz w:val="20"/>
          <w:szCs w:val="20"/>
        </w:rPr>
        <w:t>хитектурных форм благоустройства.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ECD" w:rsidRPr="005B7ECD" w:rsidRDefault="006820D3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</w:t>
      </w:r>
      <w:r w:rsidR="005B7ECD" w:rsidRPr="005B7ECD">
        <w:rPr>
          <w:rFonts w:ascii="Times New Roman" w:hAnsi="Times New Roman" w:cs="Times New Roman"/>
          <w:b/>
          <w:sz w:val="20"/>
          <w:szCs w:val="20"/>
        </w:rPr>
        <w:t>словно разрешенные виды использования земельного участка: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Гостиничное обслуживание.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Бытовое обслуживание.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bookmarkStart w:id="13" w:name="OLE_LINK29"/>
      <w:bookmarkStart w:id="14" w:name="OLE_LINK30"/>
      <w:bookmarkStart w:id="15" w:name="OLE_LINK31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</w:r>
      <w:bookmarkEnd w:id="13"/>
      <w:bookmarkEnd w:id="14"/>
      <w:bookmarkEnd w:id="15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Обслуживание автотранспорта.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>Мастерские, предназначенные для ремонта и обслуживания легковых автомобилей.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Магазины.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bookmarkStart w:id="16" w:name="OLE_LINK59"/>
      <w:bookmarkStart w:id="17" w:name="OLE_LINK60"/>
      <w:bookmarkStart w:id="18" w:name="OLE_LINK61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bookmarkEnd w:id="16"/>
      <w:bookmarkEnd w:id="17"/>
      <w:bookmarkEnd w:id="18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bookmarkStart w:id="19" w:name="OLE_LINK140"/>
      <w:bookmarkStart w:id="20" w:name="OLE_LINK141"/>
      <w:bookmarkStart w:id="21" w:name="OLE_LINK142"/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Общественное питание.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Религиозное использование</w:t>
      </w:r>
      <w:bookmarkEnd w:id="19"/>
      <w:bookmarkEnd w:id="20"/>
      <w:bookmarkEnd w:id="21"/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22" w:name="OLE_LINK143"/>
      <w:bookmarkStart w:id="23" w:name="OLE_LINK144"/>
      <w:bookmarkStart w:id="24" w:name="OLE_LINK145"/>
      <w:proofErr w:type="gramStart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bookmarkEnd w:id="22"/>
      <w:bookmarkEnd w:id="23"/>
      <w:bookmarkEnd w:id="24"/>
      <w:proofErr w:type="gramEnd"/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ECD">
        <w:rPr>
          <w:rFonts w:ascii="Times New Roman" w:hAnsi="Times New Roman" w:cs="Times New Roman"/>
          <w:b/>
          <w:bCs/>
          <w:sz w:val="20"/>
          <w:szCs w:val="20"/>
        </w:rPr>
        <w:t>2.3. </w:t>
      </w:r>
      <w:r w:rsidRPr="005B7ECD">
        <w:rPr>
          <w:rFonts w:ascii="Times New Roman" w:hAnsi="Times New Roman" w:cs="Times New Roman"/>
          <w:sz w:val="20"/>
          <w:szCs w:val="20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2.3.1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Малоэтажная жилая застройка (индивидуальное жилищное строительство)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E14C0B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E14C0B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E14C0B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E14C0B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0,04 га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0,20 га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индивидуального жилого дома – 3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постройки для содержания скота и птицы -4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– 3. Предельная высота зданий, строений,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соо-ружений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-12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2.3.2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Блокированная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E14C0B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E14C0B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E14C0B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E14C0B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0,002 га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0,20 га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индивидуального жилого дома – 3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постройки для содержания скота и птицы -4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– 3. Предельная высота зданий, строений,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соо-ружений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-12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2.3.3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Приусадебный участок личного подсобного хозяйства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E14C0B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E14C0B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E14C0B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E14C0B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0,10 га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0,50 га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индивидуального жилого дома – 3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постройки для содержания скота и птицы -4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– 3. Предельная высота зданий, строений,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соо-ружений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-12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2.3.4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Среднеэтажная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E14C0B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Иные показатели </w:t>
            </w:r>
          </w:p>
        </w:tc>
      </w:tr>
      <w:tr w:rsidR="005B7ECD" w:rsidRPr="005B7ECD" w:rsidTr="00E14C0B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E14C0B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E14C0B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  1200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Отступ от границ земель общего пользования – 5 м.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надземных этажей – 8. Минимальное количество надземных этажей -3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Для нового строительства – 40%,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Для реконструкции – 60 %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2.3.5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Коммунальное обслуживание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E14C0B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E14C0B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E14C0B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E14C0B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В соответствии с «СП 42.13330.2011»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Отступ от границ земельного участка не менее 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2.3.6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Обеспечение внутреннего правопорядка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559"/>
        <w:gridCol w:w="1701"/>
        <w:gridCol w:w="1310"/>
        <w:gridCol w:w="1936"/>
        <w:gridCol w:w="1881"/>
        <w:gridCol w:w="719"/>
      </w:tblGrid>
      <w:tr w:rsidR="005B7ECD" w:rsidRPr="005B7ECD" w:rsidTr="00E14C0B">
        <w:trPr>
          <w:trHeight w:val="2238"/>
        </w:trPr>
        <w:tc>
          <w:tcPr>
            <w:tcW w:w="3403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70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пределами которых запрещено строительство зданий, строений, сооружений </w:t>
            </w:r>
          </w:p>
        </w:tc>
        <w:tc>
          <w:tcPr>
            <w:tcW w:w="1310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Иные показатели </w:t>
            </w:r>
          </w:p>
        </w:tc>
      </w:tr>
      <w:tr w:rsidR="005B7ECD" w:rsidRPr="005B7ECD" w:rsidTr="00E14C0B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310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E14C0B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5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170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E14C0B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Отделение полиции -0,3-0,5 га на 1 объект; Опорный пункт охраны порядка – 0,1-0,15 га на 1 объект; Пожарное депо – 0,5-2,2 на депо</w:t>
            </w:r>
          </w:p>
        </w:tc>
        <w:tc>
          <w:tcPr>
            <w:tcW w:w="170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В соответствии с градостроительным регламентом.</w:t>
            </w:r>
          </w:p>
        </w:tc>
        <w:tc>
          <w:tcPr>
            <w:tcW w:w="1310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Default="007623CB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ОСОБЫЕ ОТМЕТКИ:</w:t>
      </w:r>
    </w:p>
    <w:p w:rsidR="007623CB" w:rsidRDefault="009F150B" w:rsidP="009F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Лот №1</w:t>
      </w:r>
      <w:r w:rsidR="007623C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0362D" w:rsidRPr="00A0362D">
        <w:t xml:space="preserve"> </w:t>
      </w:r>
      <w:r w:rsidR="00A0362D" w:rsidRPr="00A0362D">
        <w:rPr>
          <w:rFonts w:ascii="Times New Roman" w:hAnsi="Times New Roman" w:cs="Times New Roman"/>
          <w:bCs/>
          <w:sz w:val="20"/>
          <w:szCs w:val="20"/>
        </w:rPr>
        <w:t xml:space="preserve">земельный участок </w:t>
      </w:r>
      <w:r>
        <w:rPr>
          <w:rFonts w:ascii="Times New Roman" w:hAnsi="Times New Roman" w:cs="Times New Roman"/>
          <w:bCs/>
          <w:sz w:val="20"/>
          <w:szCs w:val="20"/>
        </w:rPr>
        <w:t xml:space="preserve">частично (21 кв. м) расположен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водоохраной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зоне, прибрежной защитной полосе Камского водохранилища (Приказ «Об установлении границ водоохранных зон и прибрежных защитных полос Камского водохранилища» от</w:t>
      </w:r>
      <w:r w:rsidR="006820D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07.07.2014 № 163).</w:t>
      </w:r>
    </w:p>
    <w:p w:rsidR="009F150B" w:rsidRPr="00A0362D" w:rsidRDefault="009F150B" w:rsidP="009F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F79C5" w:rsidRPr="006C7F6A" w:rsidRDefault="006F79C5" w:rsidP="0009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7F6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F6A">
        <w:rPr>
          <w:rFonts w:ascii="Times New Roman" w:hAnsi="Times New Roman" w:cs="Times New Roman"/>
          <w:sz w:val="20"/>
          <w:szCs w:val="20"/>
        </w:rPr>
        <w:t xml:space="preserve">1) заявка на участие в аукционе </w:t>
      </w:r>
      <w:r w:rsidRPr="00B3311B">
        <w:rPr>
          <w:rFonts w:ascii="Times New Roman" w:hAnsi="Times New Roman" w:cs="Times New Roman"/>
          <w:sz w:val="20"/>
          <w:szCs w:val="20"/>
        </w:rPr>
        <w:t>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B3311B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ИНН 5948060183 КПП 594801001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311B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3311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B3311B">
        <w:rPr>
          <w:rFonts w:ascii="Times New Roman" w:hAnsi="Times New Roman" w:cs="Times New Roman"/>
          <w:sz w:val="20"/>
          <w:szCs w:val="20"/>
        </w:rPr>
        <w:t xml:space="preserve"> 05563298120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311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3311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B3311B">
        <w:rPr>
          <w:rFonts w:ascii="Times New Roman" w:hAnsi="Times New Roman" w:cs="Times New Roman"/>
          <w:sz w:val="20"/>
          <w:szCs w:val="20"/>
        </w:rPr>
        <w:t xml:space="preserve"> 40302810565773300233 Отделение Пермь г. Пермь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БИК 045773001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Задаток за участие </w:t>
      </w:r>
      <w:r w:rsidRPr="00B3311B">
        <w:rPr>
          <w:rFonts w:ascii="Times New Roman" w:hAnsi="Times New Roman" w:cs="Times New Roman"/>
          <w:bCs/>
          <w:sz w:val="20"/>
          <w:szCs w:val="20"/>
        </w:rPr>
        <w:t>в аукционе</w:t>
      </w:r>
      <w:r w:rsidR="00B3311B" w:rsidRPr="00B3311B">
        <w:rPr>
          <w:rFonts w:ascii="Times New Roman" w:hAnsi="Times New Roman" w:cs="Times New Roman"/>
          <w:bCs/>
          <w:sz w:val="20"/>
          <w:szCs w:val="20"/>
        </w:rPr>
        <w:t xml:space="preserve"> на право заключен</w:t>
      </w:r>
      <w:r w:rsidR="006C7F6A">
        <w:rPr>
          <w:rFonts w:ascii="Times New Roman" w:hAnsi="Times New Roman" w:cs="Times New Roman"/>
          <w:bCs/>
          <w:sz w:val="20"/>
          <w:szCs w:val="20"/>
        </w:rPr>
        <w:t xml:space="preserve">ия договора по </w:t>
      </w:r>
      <w:r w:rsidRPr="00B3311B">
        <w:rPr>
          <w:rFonts w:ascii="Times New Roman" w:hAnsi="Times New Roman" w:cs="Times New Roman"/>
          <w:bCs/>
          <w:sz w:val="20"/>
          <w:szCs w:val="20"/>
        </w:rPr>
        <w:t>продаже земельных участков</w:t>
      </w:r>
      <w:r w:rsidRPr="00B331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B3311B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</w:t>
      </w:r>
      <w:r w:rsidR="000720F3" w:rsidRPr="00B3311B">
        <w:rPr>
          <w:rFonts w:ascii="Times New Roman" w:hAnsi="Times New Roman" w:cs="Times New Roman"/>
          <w:sz w:val="20"/>
          <w:szCs w:val="20"/>
        </w:rPr>
        <w:lastRenderedPageBreak/>
        <w:t xml:space="preserve">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B3311B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B3311B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B3311B">
        <w:rPr>
          <w:rFonts w:ascii="Times New Roman" w:hAnsi="Times New Roman" w:cs="Times New Roman"/>
          <w:sz w:val="20"/>
          <w:szCs w:val="20"/>
        </w:rPr>
        <w:t>не поступление</w:t>
      </w:r>
      <w:r w:rsidRPr="00B3311B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B3311B">
        <w:rPr>
          <w:rFonts w:ascii="Times New Roman" w:hAnsi="Times New Roman" w:cs="Times New Roman"/>
          <w:b/>
          <w:sz w:val="20"/>
          <w:szCs w:val="20"/>
        </w:rPr>
        <w:t>а</w:t>
      </w:r>
      <w:r w:rsidRPr="00B3311B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C7F6A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A30F9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C7F6A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6C7F6A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94FC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68400A" w:rsidRPr="00B3311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3311B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B3311B">
        <w:rPr>
          <w:rFonts w:ascii="Times New Roman" w:hAnsi="Times New Roman" w:cs="Times New Roman"/>
          <w:sz w:val="20"/>
          <w:szCs w:val="20"/>
        </w:rPr>
        <w:t>Советская</w:t>
      </w:r>
      <w:r w:rsidRPr="00B3311B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B3311B">
        <w:rPr>
          <w:rFonts w:ascii="Times New Roman" w:hAnsi="Times New Roman" w:cs="Times New Roman"/>
          <w:sz w:val="20"/>
          <w:szCs w:val="20"/>
        </w:rPr>
        <w:t>14</w:t>
      </w:r>
      <w:r w:rsidRPr="00B3311B">
        <w:rPr>
          <w:rFonts w:ascii="Times New Roman" w:hAnsi="Times New Roman" w:cs="Times New Roman"/>
          <w:sz w:val="20"/>
          <w:szCs w:val="20"/>
        </w:rPr>
        <w:t>, каб.</w:t>
      </w:r>
      <w:r w:rsidR="00090858" w:rsidRPr="00B3311B">
        <w:rPr>
          <w:rFonts w:ascii="Times New Roman" w:hAnsi="Times New Roman" w:cs="Times New Roman"/>
          <w:sz w:val="20"/>
          <w:szCs w:val="20"/>
        </w:rPr>
        <w:t>20</w:t>
      </w:r>
      <w:r w:rsidR="00064B41" w:rsidRPr="00B3311B">
        <w:rPr>
          <w:rFonts w:ascii="Times New Roman" w:hAnsi="Times New Roman" w:cs="Times New Roman"/>
          <w:sz w:val="20"/>
          <w:szCs w:val="20"/>
        </w:rPr>
        <w:t>5</w:t>
      </w:r>
      <w:r w:rsidRPr="00B3311B">
        <w:rPr>
          <w:rFonts w:ascii="Times New Roman" w:hAnsi="Times New Roman" w:cs="Times New Roman"/>
          <w:sz w:val="20"/>
          <w:szCs w:val="20"/>
        </w:rPr>
        <w:t xml:space="preserve">, Управление имущественных и земельных отношений администрации Добрянского </w:t>
      </w:r>
      <w:r w:rsidR="00B3311B" w:rsidRPr="00B3311B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="000720F3" w:rsidRPr="00B3311B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B3311B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B3311B">
        <w:rPr>
          <w:rFonts w:ascii="Times New Roman" w:hAnsi="Times New Roman" w:cs="Times New Roman"/>
          <w:bCs/>
          <w:sz w:val="20"/>
          <w:szCs w:val="20"/>
        </w:rPr>
        <w:t>)</w:t>
      </w:r>
      <w:r w:rsidRPr="00B3311B">
        <w:rPr>
          <w:rFonts w:ascii="Times New Roman" w:hAnsi="Times New Roman" w:cs="Times New Roman"/>
          <w:sz w:val="20"/>
          <w:szCs w:val="20"/>
        </w:rPr>
        <w:t>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B3311B">
        <w:rPr>
          <w:rFonts w:ascii="Times New Roman" w:hAnsi="Times New Roman" w:cs="Times New Roman"/>
          <w:sz w:val="20"/>
          <w:szCs w:val="20"/>
        </w:rPr>
        <w:t xml:space="preserve">: </w:t>
      </w:r>
      <w:r w:rsidR="006C7F6A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1612B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C7F6A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239EB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1239EB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B3311B">
        <w:rPr>
          <w:rFonts w:ascii="Times New Roman" w:hAnsi="Times New Roman" w:cs="Times New Roman"/>
          <w:sz w:val="20"/>
          <w:szCs w:val="20"/>
        </w:rPr>
        <w:t>,</w:t>
      </w:r>
      <w:r w:rsidRPr="00B3311B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B3311B">
        <w:rPr>
          <w:rFonts w:ascii="Times New Roman" w:hAnsi="Times New Roman" w:cs="Times New Roman"/>
          <w:sz w:val="20"/>
          <w:szCs w:val="20"/>
        </w:rPr>
        <w:t>5</w:t>
      </w:r>
      <w:r w:rsidRPr="00B3311B">
        <w:rPr>
          <w:rFonts w:ascii="Times New Roman" w:hAnsi="Times New Roman" w:cs="Times New Roman"/>
          <w:sz w:val="20"/>
          <w:szCs w:val="20"/>
        </w:rPr>
        <w:t>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25" w:name="_Ref167105453"/>
      <w:r w:rsidRPr="00B3311B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25"/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B3311B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B3311B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B3311B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B3311B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</w:t>
      </w:r>
      <w:r w:rsidRPr="003C651D">
        <w:rPr>
          <w:rFonts w:ascii="Times New Roman" w:hAnsi="Times New Roman" w:cs="Times New Roman"/>
          <w:sz w:val="20"/>
          <w:szCs w:val="20"/>
        </w:rPr>
        <w:lastRenderedPageBreak/>
        <w:t>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612C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12CC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AD009D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AD009D">
        <w:rPr>
          <w:rFonts w:ascii="Times New Roman" w:hAnsi="Times New Roman" w:cs="Times New Roman"/>
          <w:sz w:val="20"/>
          <w:szCs w:val="20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AD009D">
        <w:rPr>
          <w:rFonts w:ascii="Times New Roman" w:hAnsi="Times New Roman" w:cs="Times New Roman"/>
          <w:sz w:val="20"/>
          <w:szCs w:val="20"/>
        </w:rPr>
        <w:t>,</w:t>
      </w:r>
      <w:r w:rsidR="00766F71" w:rsidRPr="00766F71">
        <w:t xml:space="preserve"> </w:t>
      </w:r>
      <w:hyperlink r:id="rId8" w:history="1">
        <w:r w:rsidR="00E54AB5" w:rsidRPr="0052796A">
          <w:rPr>
            <w:rStyle w:val="a9"/>
            <w:rFonts w:ascii="Times New Roman" w:hAnsi="Times New Roman" w:cs="Times New Roman"/>
            <w:sz w:val="20"/>
            <w:szCs w:val="20"/>
          </w:rPr>
          <w:t>http://dobr-pravo.ru</w:t>
        </w:r>
      </w:hyperlink>
      <w:r w:rsidR="00E54AB5">
        <w:rPr>
          <w:rFonts w:ascii="Times New Roman" w:hAnsi="Times New Roman" w:cs="Times New Roman"/>
          <w:sz w:val="20"/>
          <w:szCs w:val="20"/>
        </w:rPr>
        <w:t xml:space="preserve"> </w:t>
      </w:r>
      <w:r w:rsidR="00766F71">
        <w:rPr>
          <w:rFonts w:ascii="Times New Roman" w:hAnsi="Times New Roman" w:cs="Times New Roman"/>
          <w:sz w:val="20"/>
          <w:szCs w:val="20"/>
        </w:rPr>
        <w:t>,</w:t>
      </w:r>
      <w:r w:rsidR="003C651D" w:rsidRPr="00AD009D">
        <w:rPr>
          <w:rFonts w:ascii="Times New Roman" w:hAnsi="Times New Roman" w:cs="Times New Roman"/>
          <w:sz w:val="20"/>
          <w:szCs w:val="20"/>
        </w:rPr>
        <w:t xml:space="preserve"> а также в </w:t>
      </w:r>
      <w:r w:rsidR="00AD009D" w:rsidRPr="00AD009D">
        <w:rPr>
          <w:rFonts w:ascii="Times New Roman" w:hAnsi="Times New Roman" w:cs="Times New Roman"/>
          <w:sz w:val="20"/>
          <w:szCs w:val="20"/>
        </w:rPr>
        <w:t>периодическом печатном издании газете «Камские зори».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009D">
        <w:rPr>
          <w:rFonts w:ascii="Times New Roman" w:hAnsi="Times New Roman" w:cs="Times New Roman"/>
          <w:sz w:val="20"/>
          <w:szCs w:val="20"/>
        </w:rPr>
        <w:t>С пакетом аукционной документации (</w:t>
      </w:r>
      <w:r w:rsidR="00AD009D" w:rsidRPr="00AD009D">
        <w:rPr>
          <w:rFonts w:ascii="Times New Roman" w:hAnsi="Times New Roman" w:cs="Times New Roman"/>
          <w:sz w:val="20"/>
          <w:szCs w:val="20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AD009D">
        <w:rPr>
          <w:rFonts w:ascii="Times New Roman" w:hAnsi="Times New Roman" w:cs="Times New Roman"/>
          <w:sz w:val="20"/>
          <w:szCs w:val="20"/>
        </w:rPr>
        <w:t>, схема расположения</w:t>
      </w:r>
      <w:r w:rsidR="00AD009D" w:rsidRPr="00AD009D">
        <w:rPr>
          <w:rFonts w:ascii="Times New Roman" w:hAnsi="Times New Roman" w:cs="Times New Roman"/>
          <w:sz w:val="20"/>
          <w:szCs w:val="20"/>
        </w:rPr>
        <w:t xml:space="preserve"> земельного участка</w:t>
      </w:r>
      <w:r w:rsidRPr="00AD009D">
        <w:rPr>
          <w:rFonts w:ascii="Times New Roman" w:hAnsi="Times New Roman" w:cs="Times New Roman"/>
          <w:sz w:val="20"/>
          <w:szCs w:val="20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AD009D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AD009D">
        <w:rPr>
          <w:rFonts w:ascii="Times New Roman" w:hAnsi="Times New Roman" w:cs="Times New Roman"/>
          <w:sz w:val="20"/>
          <w:szCs w:val="20"/>
        </w:rPr>
        <w:t>. 205, с 8.30 до 13.00 и с 13.48 до 17.30 часов, по пятницам – до 16.30 часов (кроме выходных и</w:t>
      </w:r>
      <w:proofErr w:type="gramEnd"/>
      <w:r w:rsidRPr="00AD009D">
        <w:rPr>
          <w:rFonts w:ascii="Times New Roman" w:hAnsi="Times New Roman" w:cs="Times New Roman"/>
          <w:sz w:val="20"/>
          <w:szCs w:val="20"/>
        </w:rPr>
        <w:t xml:space="preserve"> праздничных дней), тел. (34265) 2-78-61. </w:t>
      </w:r>
    </w:p>
    <w:p w:rsidR="00A2424A" w:rsidRPr="00AD009D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bookmarkStart w:id="26" w:name="_GoBack"/>
      <w:r w:rsidR="000025E8" w:rsidRPr="000025E8">
        <w:rPr>
          <w:rFonts w:ascii="Times New Roman" w:hAnsi="Times New Roman" w:cs="Times New Roman"/>
          <w:sz w:val="20"/>
          <w:szCs w:val="20"/>
        </w:rPr>
        <w:t>01.10</w:t>
      </w:r>
      <w:r w:rsidR="00AD009D" w:rsidRPr="000025E8">
        <w:rPr>
          <w:rFonts w:ascii="Times New Roman" w:hAnsi="Times New Roman" w:cs="Times New Roman"/>
          <w:sz w:val="20"/>
          <w:szCs w:val="20"/>
        </w:rPr>
        <w:t>.</w:t>
      </w:r>
      <w:bookmarkEnd w:id="26"/>
      <w:r w:rsidR="00AD009D" w:rsidRPr="006820D3">
        <w:rPr>
          <w:rFonts w:ascii="Times New Roman" w:hAnsi="Times New Roman" w:cs="Times New Roman"/>
          <w:sz w:val="20"/>
          <w:szCs w:val="20"/>
        </w:rPr>
        <w:t>2020 г.</w:t>
      </w:r>
      <w:r w:rsidR="00290AC0" w:rsidRPr="006820D3">
        <w:rPr>
          <w:rFonts w:ascii="Times New Roman" w:hAnsi="Times New Roman" w:cs="Times New Roman"/>
          <w:sz w:val="20"/>
          <w:szCs w:val="20"/>
        </w:rPr>
        <w:t xml:space="preserve">– </w:t>
      </w:r>
      <w:r w:rsidR="00290AC0" w:rsidRPr="00AD009D">
        <w:rPr>
          <w:rFonts w:ascii="Times New Roman" w:hAnsi="Times New Roman" w:cs="Times New Roman"/>
          <w:sz w:val="20"/>
          <w:szCs w:val="20"/>
        </w:rPr>
        <w:t>лоты №</w:t>
      </w:r>
      <w:r w:rsidR="00290579">
        <w:rPr>
          <w:rFonts w:ascii="Times New Roman" w:hAnsi="Times New Roman" w:cs="Times New Roman"/>
          <w:sz w:val="20"/>
          <w:szCs w:val="20"/>
        </w:rPr>
        <w:t>1-16</w:t>
      </w:r>
      <w:r w:rsidR="00FA78CB" w:rsidRPr="00AD009D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AD009D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5E8"/>
    <w:rsid w:val="00011D49"/>
    <w:rsid w:val="00012768"/>
    <w:rsid w:val="00025C39"/>
    <w:rsid w:val="0003572B"/>
    <w:rsid w:val="00054FA6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D22A7"/>
    <w:rsid w:val="000D54C1"/>
    <w:rsid w:val="000E232F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816E9"/>
    <w:rsid w:val="00182820"/>
    <w:rsid w:val="00184927"/>
    <w:rsid w:val="001870E8"/>
    <w:rsid w:val="001A1966"/>
    <w:rsid w:val="001C7641"/>
    <w:rsid w:val="0020049C"/>
    <w:rsid w:val="00207332"/>
    <w:rsid w:val="0021379C"/>
    <w:rsid w:val="00227162"/>
    <w:rsid w:val="00233F06"/>
    <w:rsid w:val="00236412"/>
    <w:rsid w:val="002433F4"/>
    <w:rsid w:val="0024731D"/>
    <w:rsid w:val="00255342"/>
    <w:rsid w:val="00263572"/>
    <w:rsid w:val="00266F33"/>
    <w:rsid w:val="00270D29"/>
    <w:rsid w:val="00271831"/>
    <w:rsid w:val="0028631F"/>
    <w:rsid w:val="00290579"/>
    <w:rsid w:val="00290AC0"/>
    <w:rsid w:val="00290F22"/>
    <w:rsid w:val="002A4615"/>
    <w:rsid w:val="002A4654"/>
    <w:rsid w:val="002B3539"/>
    <w:rsid w:val="002C03FB"/>
    <w:rsid w:val="002C21A8"/>
    <w:rsid w:val="002C3410"/>
    <w:rsid w:val="002C6277"/>
    <w:rsid w:val="002C6777"/>
    <w:rsid w:val="002D4187"/>
    <w:rsid w:val="002D79A7"/>
    <w:rsid w:val="0031662F"/>
    <w:rsid w:val="0032108D"/>
    <w:rsid w:val="00331DBA"/>
    <w:rsid w:val="003330FC"/>
    <w:rsid w:val="00344A88"/>
    <w:rsid w:val="00344BF4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807AD"/>
    <w:rsid w:val="00393257"/>
    <w:rsid w:val="003A75DF"/>
    <w:rsid w:val="003B54E6"/>
    <w:rsid w:val="003C651D"/>
    <w:rsid w:val="003E5CE2"/>
    <w:rsid w:val="003E6BBD"/>
    <w:rsid w:val="003F40CD"/>
    <w:rsid w:val="003F41B9"/>
    <w:rsid w:val="003F6051"/>
    <w:rsid w:val="00407172"/>
    <w:rsid w:val="00414386"/>
    <w:rsid w:val="00443B02"/>
    <w:rsid w:val="004612CC"/>
    <w:rsid w:val="004628B0"/>
    <w:rsid w:val="004635E3"/>
    <w:rsid w:val="00476A2B"/>
    <w:rsid w:val="004838A8"/>
    <w:rsid w:val="00484F3C"/>
    <w:rsid w:val="00491277"/>
    <w:rsid w:val="004A3F20"/>
    <w:rsid w:val="004A516D"/>
    <w:rsid w:val="004A7D6B"/>
    <w:rsid w:val="004C53C1"/>
    <w:rsid w:val="004E1C1D"/>
    <w:rsid w:val="004E6D36"/>
    <w:rsid w:val="004F2289"/>
    <w:rsid w:val="005072EF"/>
    <w:rsid w:val="005325F0"/>
    <w:rsid w:val="0053686B"/>
    <w:rsid w:val="00541530"/>
    <w:rsid w:val="00560057"/>
    <w:rsid w:val="00566C49"/>
    <w:rsid w:val="005674B4"/>
    <w:rsid w:val="00583F7A"/>
    <w:rsid w:val="00585062"/>
    <w:rsid w:val="005967F9"/>
    <w:rsid w:val="005A575D"/>
    <w:rsid w:val="005A6AEC"/>
    <w:rsid w:val="005B226C"/>
    <w:rsid w:val="005B7ECD"/>
    <w:rsid w:val="005D0796"/>
    <w:rsid w:val="005D5776"/>
    <w:rsid w:val="005D6A92"/>
    <w:rsid w:val="005F0093"/>
    <w:rsid w:val="005F0872"/>
    <w:rsid w:val="00603FAE"/>
    <w:rsid w:val="006115C1"/>
    <w:rsid w:val="00623764"/>
    <w:rsid w:val="00623B8F"/>
    <w:rsid w:val="0062750C"/>
    <w:rsid w:val="00636E9D"/>
    <w:rsid w:val="006379F8"/>
    <w:rsid w:val="0064066B"/>
    <w:rsid w:val="0065417A"/>
    <w:rsid w:val="006730F6"/>
    <w:rsid w:val="0067480E"/>
    <w:rsid w:val="006820D3"/>
    <w:rsid w:val="0068400A"/>
    <w:rsid w:val="00690443"/>
    <w:rsid w:val="00693303"/>
    <w:rsid w:val="006954EE"/>
    <w:rsid w:val="006A0935"/>
    <w:rsid w:val="006A138C"/>
    <w:rsid w:val="006A2D51"/>
    <w:rsid w:val="006A46AB"/>
    <w:rsid w:val="006A4FA5"/>
    <w:rsid w:val="006A5AA9"/>
    <w:rsid w:val="006B77F6"/>
    <w:rsid w:val="006C24EA"/>
    <w:rsid w:val="006C60D9"/>
    <w:rsid w:val="006C7F6A"/>
    <w:rsid w:val="006D4CDC"/>
    <w:rsid w:val="006D4F23"/>
    <w:rsid w:val="006D5D6B"/>
    <w:rsid w:val="006E1B03"/>
    <w:rsid w:val="006F79C5"/>
    <w:rsid w:val="0070709E"/>
    <w:rsid w:val="00715125"/>
    <w:rsid w:val="00723F0E"/>
    <w:rsid w:val="00724F22"/>
    <w:rsid w:val="00732876"/>
    <w:rsid w:val="00734C66"/>
    <w:rsid w:val="007623CB"/>
    <w:rsid w:val="00763B76"/>
    <w:rsid w:val="00766F71"/>
    <w:rsid w:val="00773A96"/>
    <w:rsid w:val="00780C46"/>
    <w:rsid w:val="007843D4"/>
    <w:rsid w:val="007850B7"/>
    <w:rsid w:val="007A40DD"/>
    <w:rsid w:val="007A6BCC"/>
    <w:rsid w:val="007A70D9"/>
    <w:rsid w:val="007B61FF"/>
    <w:rsid w:val="007C141C"/>
    <w:rsid w:val="007C4EF5"/>
    <w:rsid w:val="007C6C64"/>
    <w:rsid w:val="007D1657"/>
    <w:rsid w:val="007D2C42"/>
    <w:rsid w:val="007E6F03"/>
    <w:rsid w:val="007F3521"/>
    <w:rsid w:val="00810E56"/>
    <w:rsid w:val="00823460"/>
    <w:rsid w:val="008252AF"/>
    <w:rsid w:val="00825704"/>
    <w:rsid w:val="00834090"/>
    <w:rsid w:val="0087187F"/>
    <w:rsid w:val="00883A04"/>
    <w:rsid w:val="00891FCF"/>
    <w:rsid w:val="00896A5B"/>
    <w:rsid w:val="008A2863"/>
    <w:rsid w:val="008D16F5"/>
    <w:rsid w:val="008E3D7A"/>
    <w:rsid w:val="008E5717"/>
    <w:rsid w:val="00950A6C"/>
    <w:rsid w:val="00956801"/>
    <w:rsid w:val="009829D9"/>
    <w:rsid w:val="00984F04"/>
    <w:rsid w:val="00992132"/>
    <w:rsid w:val="00995EAA"/>
    <w:rsid w:val="009A000D"/>
    <w:rsid w:val="009A312A"/>
    <w:rsid w:val="009D2157"/>
    <w:rsid w:val="009D70C4"/>
    <w:rsid w:val="009E07A1"/>
    <w:rsid w:val="009F150B"/>
    <w:rsid w:val="009F1D53"/>
    <w:rsid w:val="009F260A"/>
    <w:rsid w:val="009F34AD"/>
    <w:rsid w:val="009F5292"/>
    <w:rsid w:val="009F5C95"/>
    <w:rsid w:val="00A00255"/>
    <w:rsid w:val="00A006AA"/>
    <w:rsid w:val="00A00F3F"/>
    <w:rsid w:val="00A0362D"/>
    <w:rsid w:val="00A2424A"/>
    <w:rsid w:val="00A30F98"/>
    <w:rsid w:val="00A40889"/>
    <w:rsid w:val="00A416D4"/>
    <w:rsid w:val="00A45597"/>
    <w:rsid w:val="00A47AC1"/>
    <w:rsid w:val="00A54C67"/>
    <w:rsid w:val="00A56136"/>
    <w:rsid w:val="00A75DEB"/>
    <w:rsid w:val="00A910EC"/>
    <w:rsid w:val="00AA0C81"/>
    <w:rsid w:val="00AA6281"/>
    <w:rsid w:val="00AB6F59"/>
    <w:rsid w:val="00AB7935"/>
    <w:rsid w:val="00AC0D54"/>
    <w:rsid w:val="00AD009D"/>
    <w:rsid w:val="00AE0735"/>
    <w:rsid w:val="00AE1AB1"/>
    <w:rsid w:val="00AF2BF9"/>
    <w:rsid w:val="00B048C5"/>
    <w:rsid w:val="00B1516B"/>
    <w:rsid w:val="00B3311B"/>
    <w:rsid w:val="00B34292"/>
    <w:rsid w:val="00B349B8"/>
    <w:rsid w:val="00B446D7"/>
    <w:rsid w:val="00B47A6E"/>
    <w:rsid w:val="00B524EC"/>
    <w:rsid w:val="00B721CF"/>
    <w:rsid w:val="00B76EDB"/>
    <w:rsid w:val="00B8702A"/>
    <w:rsid w:val="00B8768A"/>
    <w:rsid w:val="00BA54BD"/>
    <w:rsid w:val="00BB2ADC"/>
    <w:rsid w:val="00BC0722"/>
    <w:rsid w:val="00BC4174"/>
    <w:rsid w:val="00BF28D2"/>
    <w:rsid w:val="00BF660E"/>
    <w:rsid w:val="00BF6680"/>
    <w:rsid w:val="00BF6BEC"/>
    <w:rsid w:val="00C0359C"/>
    <w:rsid w:val="00C035D9"/>
    <w:rsid w:val="00C05273"/>
    <w:rsid w:val="00C06D8E"/>
    <w:rsid w:val="00C073E8"/>
    <w:rsid w:val="00C119B9"/>
    <w:rsid w:val="00C14BCF"/>
    <w:rsid w:val="00C1520E"/>
    <w:rsid w:val="00C31E01"/>
    <w:rsid w:val="00C32B77"/>
    <w:rsid w:val="00C608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2FD4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667F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D42BC"/>
    <w:rsid w:val="00DD6545"/>
    <w:rsid w:val="00DD6C85"/>
    <w:rsid w:val="00DE4937"/>
    <w:rsid w:val="00DE5F67"/>
    <w:rsid w:val="00DE76FB"/>
    <w:rsid w:val="00DF0511"/>
    <w:rsid w:val="00DF1218"/>
    <w:rsid w:val="00E0712F"/>
    <w:rsid w:val="00E103E9"/>
    <w:rsid w:val="00E14C0B"/>
    <w:rsid w:val="00E22DB7"/>
    <w:rsid w:val="00E249C0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7062"/>
    <w:rsid w:val="00E9125B"/>
    <w:rsid w:val="00EA1777"/>
    <w:rsid w:val="00EA1DAD"/>
    <w:rsid w:val="00EA307F"/>
    <w:rsid w:val="00EA7967"/>
    <w:rsid w:val="00EC1DEC"/>
    <w:rsid w:val="00EC4042"/>
    <w:rsid w:val="00EC5566"/>
    <w:rsid w:val="00ED2F59"/>
    <w:rsid w:val="00ED754E"/>
    <w:rsid w:val="00F07186"/>
    <w:rsid w:val="00F224AF"/>
    <w:rsid w:val="00F270F4"/>
    <w:rsid w:val="00F3021F"/>
    <w:rsid w:val="00F3253B"/>
    <w:rsid w:val="00F32D56"/>
    <w:rsid w:val="00F35CC2"/>
    <w:rsid w:val="00F37924"/>
    <w:rsid w:val="00F80883"/>
    <w:rsid w:val="00F913AB"/>
    <w:rsid w:val="00F934C6"/>
    <w:rsid w:val="00FA38FA"/>
    <w:rsid w:val="00FA5FF1"/>
    <w:rsid w:val="00FA78CB"/>
    <w:rsid w:val="00FB1066"/>
    <w:rsid w:val="00FB3B22"/>
    <w:rsid w:val="00FB4094"/>
    <w:rsid w:val="00FC5F72"/>
    <w:rsid w:val="00FD5D57"/>
    <w:rsid w:val="00FD6C90"/>
    <w:rsid w:val="00FE4C38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FE7D-9329-4D65-B2AE-0FCFFB2F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18</Pages>
  <Words>12823</Words>
  <Characters>73095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85747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32</cp:revision>
  <cp:lastPrinted>2020-03-12T10:27:00Z</cp:lastPrinted>
  <dcterms:created xsi:type="dcterms:W3CDTF">2020-03-12T10:15:00Z</dcterms:created>
  <dcterms:modified xsi:type="dcterms:W3CDTF">2020-09-14T11:51:00Z</dcterms:modified>
</cp:coreProperties>
</file>