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25" w:rsidRPr="00800E25" w:rsidRDefault="00800E25" w:rsidP="00800E25">
      <w:pPr>
        <w:shd w:val="clear" w:color="auto" w:fill="FFFFFF"/>
        <w:spacing w:after="0" w:line="240" w:lineRule="auto"/>
        <w:jc w:val="center"/>
        <w:outlineLvl w:val="0"/>
        <w:rPr>
          <w:rFonts w:ascii="Tahoma" w:eastAsia="Times New Roman" w:hAnsi="Tahoma" w:cs="Tahoma"/>
          <w:b/>
          <w:bCs/>
          <w:color w:val="444444"/>
          <w:kern w:val="36"/>
          <w:sz w:val="43"/>
          <w:szCs w:val="43"/>
          <w:lang w:eastAsia="ru-RU"/>
        </w:rPr>
      </w:pPr>
      <w:r w:rsidRPr="00800E25">
        <w:rPr>
          <w:rFonts w:ascii="Tahoma" w:eastAsia="Times New Roman" w:hAnsi="Tahoma" w:cs="Tahoma"/>
          <w:b/>
          <w:bCs/>
          <w:color w:val="444444"/>
          <w:kern w:val="36"/>
          <w:sz w:val="43"/>
          <w:szCs w:val="43"/>
          <w:lang w:eastAsia="ru-RU"/>
        </w:rPr>
        <w:t>Проверили зарплаты и пенсии</w:t>
      </w:r>
    </w:p>
    <w:p w:rsidR="00800E25" w:rsidRPr="00800E25" w:rsidRDefault="00800E25" w:rsidP="00800E25">
      <w:pPr>
        <w:shd w:val="clear" w:color="auto" w:fill="FFFFFF"/>
        <w:spacing w:line="240" w:lineRule="auto"/>
        <w:jc w:val="right"/>
        <w:rPr>
          <w:rFonts w:ascii="Tahoma" w:eastAsia="Times New Roman" w:hAnsi="Tahoma" w:cs="Tahoma"/>
          <w:color w:val="444444"/>
          <w:sz w:val="20"/>
          <w:szCs w:val="20"/>
          <w:lang w:eastAsia="ru-RU"/>
        </w:rPr>
      </w:pPr>
      <w:r w:rsidRPr="00800E25">
        <w:rPr>
          <w:rFonts w:ascii="Tahoma" w:eastAsia="Times New Roman" w:hAnsi="Tahoma" w:cs="Tahoma"/>
          <w:color w:val="444444"/>
          <w:sz w:val="20"/>
          <w:szCs w:val="20"/>
          <w:lang w:eastAsia="ru-RU"/>
        </w:rPr>
        <w:t xml:space="preserve">10 </w:t>
      </w:r>
      <w:proofErr w:type="spellStart"/>
      <w:r w:rsidRPr="00800E25">
        <w:rPr>
          <w:rFonts w:ascii="Tahoma" w:eastAsia="Times New Roman" w:hAnsi="Tahoma" w:cs="Tahoma"/>
          <w:color w:val="444444"/>
          <w:sz w:val="20"/>
          <w:szCs w:val="20"/>
          <w:lang w:eastAsia="ru-RU"/>
        </w:rPr>
        <w:t>Янв</w:t>
      </w:r>
      <w:proofErr w:type="spellEnd"/>
      <w:r w:rsidRPr="00800E25">
        <w:rPr>
          <w:rFonts w:ascii="Tahoma" w:eastAsia="Times New Roman" w:hAnsi="Tahoma" w:cs="Tahoma"/>
          <w:color w:val="444444"/>
          <w:sz w:val="20"/>
          <w:szCs w:val="20"/>
          <w:lang w:eastAsia="ru-RU"/>
        </w:rPr>
        <w:t xml:space="preserve"> 2020 </w:t>
      </w:r>
      <w:r w:rsidRPr="00800E25">
        <w:rPr>
          <w:rFonts w:ascii="Arial" w:eastAsia="Times New Roman" w:hAnsi="Arial" w:cs="Arial"/>
          <w:color w:val="444444"/>
          <w:sz w:val="20"/>
          <w:szCs w:val="20"/>
          <w:bdr w:val="none" w:sz="0" w:space="0" w:color="auto" w:frame="1"/>
          <w:lang w:eastAsia="ru-RU"/>
        </w:rPr>
        <w:t>→</w:t>
      </w:r>
      <w:r w:rsidRPr="00800E25">
        <w:rPr>
          <w:rFonts w:ascii="Tahoma" w:eastAsia="Times New Roman" w:hAnsi="Tahoma" w:cs="Tahoma"/>
          <w:color w:val="444444"/>
          <w:sz w:val="20"/>
          <w:szCs w:val="20"/>
          <w:lang w:eastAsia="ru-RU"/>
        </w:rPr>
        <w:t> </w:t>
      </w:r>
      <w:hyperlink r:id="rId4" w:history="1">
        <w:r w:rsidRPr="00800E25">
          <w:rPr>
            <w:rFonts w:ascii="Tahoma" w:eastAsia="Times New Roman" w:hAnsi="Tahoma" w:cs="Tahoma"/>
            <w:color w:val="656565"/>
            <w:sz w:val="20"/>
            <w:szCs w:val="20"/>
            <w:u w:val="single"/>
            <w:bdr w:val="none" w:sz="0" w:space="0" w:color="auto" w:frame="1"/>
            <w:lang w:eastAsia="ru-RU"/>
          </w:rPr>
          <w:t>Экономика</w:t>
        </w:r>
      </w:hyperlink>
    </w:p>
    <w:p w:rsidR="00800E25" w:rsidRPr="00800E25" w:rsidRDefault="00800E25" w:rsidP="00800E25">
      <w:pPr>
        <w:shd w:val="clear" w:color="auto" w:fill="FFFFFF"/>
        <w:spacing w:after="0" w:line="240" w:lineRule="auto"/>
        <w:jc w:val="both"/>
        <w:rPr>
          <w:rFonts w:ascii="Tahoma" w:eastAsia="Times New Roman" w:hAnsi="Tahoma" w:cs="Tahoma"/>
          <w:color w:val="444444"/>
          <w:sz w:val="20"/>
          <w:szCs w:val="20"/>
          <w:lang w:eastAsia="ru-RU"/>
        </w:rPr>
      </w:pPr>
      <w:r w:rsidRPr="00800E25">
        <w:rPr>
          <w:rFonts w:ascii="Tahoma" w:eastAsia="Times New Roman" w:hAnsi="Tahoma" w:cs="Tahoma"/>
          <w:noProof/>
          <w:color w:val="656565"/>
          <w:sz w:val="20"/>
          <w:szCs w:val="20"/>
          <w:bdr w:val="none" w:sz="0" w:space="0" w:color="auto" w:frame="1"/>
          <w:lang w:eastAsia="ru-RU"/>
        </w:rPr>
        <w:drawing>
          <wp:inline distT="0" distB="0" distL="0" distR="0" wp14:anchorId="41FE08F4" wp14:editId="5D0F2ECA">
            <wp:extent cx="5428648" cy="3616837"/>
            <wp:effectExtent l="0" t="0" r="635" b="3175"/>
            <wp:docPr id="7" name="Рисунок 7" descr="Фото Аркадия Шестакова">
              <a:hlinkClick xmlns:a="http://schemas.openxmlformats.org/drawingml/2006/main" r:id="rId5" tooltip="&quot;Фото Аркадия Шестако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ото Аркадия Шестакова">
                      <a:hlinkClick r:id="rId5" tooltip="&quot;Фото Аркадия Шестакова&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5071" cy="3627779"/>
                    </a:xfrm>
                    <a:prstGeom prst="rect">
                      <a:avLst/>
                    </a:prstGeom>
                    <a:noFill/>
                    <a:ln>
                      <a:noFill/>
                    </a:ln>
                  </pic:spPr>
                </pic:pic>
              </a:graphicData>
            </a:graphic>
          </wp:inline>
        </w:drawing>
      </w:r>
    </w:p>
    <w:p w:rsidR="00800E25" w:rsidRPr="00800E25" w:rsidRDefault="00800E25" w:rsidP="00800E25">
      <w:pPr>
        <w:shd w:val="clear" w:color="auto" w:fill="FFFFFF"/>
        <w:spacing w:after="0" w:line="240" w:lineRule="auto"/>
        <w:jc w:val="right"/>
        <w:rPr>
          <w:rFonts w:ascii="Tahoma" w:eastAsia="Times New Roman" w:hAnsi="Tahoma" w:cs="Tahoma"/>
          <w:color w:val="959595"/>
          <w:sz w:val="18"/>
          <w:szCs w:val="18"/>
          <w:lang w:eastAsia="ru-RU"/>
        </w:rPr>
      </w:pPr>
      <w:r w:rsidRPr="00800E25">
        <w:rPr>
          <w:rFonts w:ascii="Tahoma" w:eastAsia="Times New Roman" w:hAnsi="Tahoma" w:cs="Tahoma"/>
          <w:color w:val="959595"/>
          <w:sz w:val="18"/>
          <w:szCs w:val="18"/>
          <w:lang w:eastAsia="ru-RU"/>
        </w:rPr>
        <w:t>Фото Аркадия Шестакова</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b/>
          <w:bCs/>
          <w:color w:val="444444"/>
          <w:sz w:val="21"/>
          <w:szCs w:val="21"/>
          <w:lang w:eastAsia="ru-RU"/>
        </w:rPr>
      </w:pPr>
      <w:r w:rsidRPr="00800E25">
        <w:rPr>
          <w:rFonts w:ascii="Tahoma" w:eastAsia="Times New Roman" w:hAnsi="Tahoma" w:cs="Tahoma"/>
          <w:b/>
          <w:bCs/>
          <w:color w:val="444444"/>
          <w:sz w:val="21"/>
          <w:szCs w:val="21"/>
          <w:lang w:eastAsia="ru-RU"/>
        </w:rPr>
        <w:t>Кон</w:t>
      </w:r>
      <w:bookmarkStart w:id="0" w:name="_GoBack"/>
      <w:bookmarkEnd w:id="0"/>
      <w:r w:rsidRPr="00800E25">
        <w:rPr>
          <w:rFonts w:ascii="Tahoma" w:eastAsia="Times New Roman" w:hAnsi="Tahoma" w:cs="Tahoma"/>
          <w:b/>
          <w:bCs/>
          <w:color w:val="444444"/>
          <w:sz w:val="21"/>
          <w:szCs w:val="21"/>
          <w:lang w:eastAsia="ru-RU"/>
        </w:rPr>
        <w:t xml:space="preserve">трольно-счётная палата (КСП) </w:t>
      </w:r>
      <w:proofErr w:type="spellStart"/>
      <w:r w:rsidRPr="00800E25">
        <w:rPr>
          <w:rFonts w:ascii="Tahoma" w:eastAsia="Times New Roman" w:hAnsi="Tahoma" w:cs="Tahoma"/>
          <w:b/>
          <w:bCs/>
          <w:color w:val="444444"/>
          <w:sz w:val="21"/>
          <w:szCs w:val="21"/>
          <w:lang w:eastAsia="ru-RU"/>
        </w:rPr>
        <w:t>Добрянского</w:t>
      </w:r>
      <w:proofErr w:type="spellEnd"/>
      <w:r w:rsidRPr="00800E25">
        <w:rPr>
          <w:rFonts w:ascii="Tahoma" w:eastAsia="Times New Roman" w:hAnsi="Tahoma" w:cs="Tahoma"/>
          <w:b/>
          <w:bCs/>
          <w:color w:val="444444"/>
          <w:sz w:val="21"/>
          <w:szCs w:val="21"/>
          <w:lang w:eastAsia="ru-RU"/>
        </w:rPr>
        <w:t xml:space="preserve"> городского округа выявила нарушения в начислениях зарплат педагогам дополнительного образования и муниципальных пенсий.</w:t>
      </w:r>
    </w:p>
    <w:p w:rsidR="00800E25" w:rsidRPr="00800E25" w:rsidRDefault="00800E25" w:rsidP="00800E25">
      <w:pPr>
        <w:shd w:val="clear" w:color="auto" w:fill="FFFFFF"/>
        <w:spacing w:after="0" w:line="240" w:lineRule="auto"/>
        <w:jc w:val="center"/>
        <w:outlineLvl w:val="2"/>
        <w:rPr>
          <w:rFonts w:ascii="Tahoma" w:eastAsia="Times New Roman" w:hAnsi="Tahoma" w:cs="Tahoma"/>
          <w:b/>
          <w:bCs/>
          <w:color w:val="444444"/>
          <w:sz w:val="29"/>
          <w:szCs w:val="29"/>
          <w:lang w:eastAsia="ru-RU"/>
        </w:rPr>
      </w:pPr>
      <w:r w:rsidRPr="00800E25">
        <w:rPr>
          <w:rFonts w:ascii="Tahoma" w:eastAsia="Times New Roman" w:hAnsi="Tahoma" w:cs="Tahoma"/>
          <w:b/>
          <w:bCs/>
          <w:color w:val="444444"/>
          <w:sz w:val="29"/>
          <w:szCs w:val="29"/>
          <w:lang w:eastAsia="ru-RU"/>
        </w:rPr>
        <w:t xml:space="preserve">Как сэкономить в </w:t>
      </w:r>
      <w:proofErr w:type="spellStart"/>
      <w:r w:rsidRPr="00800E25">
        <w:rPr>
          <w:rFonts w:ascii="Tahoma" w:eastAsia="Times New Roman" w:hAnsi="Tahoma" w:cs="Tahoma"/>
          <w:b/>
          <w:bCs/>
          <w:color w:val="444444"/>
          <w:sz w:val="29"/>
          <w:szCs w:val="29"/>
          <w:lang w:eastAsia="ru-RU"/>
        </w:rPr>
        <w:t>допобразовании</w:t>
      </w:r>
      <w:proofErr w:type="spellEnd"/>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 xml:space="preserve">КСП проверила выплаты за 2018 год сотрудникам учреждений дополнительного образования: </w:t>
      </w:r>
      <w:proofErr w:type="spellStart"/>
      <w:r w:rsidRPr="00800E25">
        <w:rPr>
          <w:rFonts w:ascii="Tahoma" w:eastAsia="Times New Roman" w:hAnsi="Tahoma" w:cs="Tahoma"/>
          <w:color w:val="444444"/>
          <w:sz w:val="21"/>
          <w:szCs w:val="21"/>
          <w:lang w:eastAsia="ru-RU"/>
        </w:rPr>
        <w:t>Добрянской</w:t>
      </w:r>
      <w:proofErr w:type="spellEnd"/>
      <w:r w:rsidRPr="00800E25">
        <w:rPr>
          <w:rFonts w:ascii="Tahoma" w:eastAsia="Times New Roman" w:hAnsi="Tahoma" w:cs="Tahoma"/>
          <w:color w:val="444444"/>
          <w:sz w:val="21"/>
          <w:szCs w:val="21"/>
          <w:lang w:eastAsia="ru-RU"/>
        </w:rPr>
        <w:t xml:space="preserve"> и </w:t>
      </w:r>
      <w:proofErr w:type="spellStart"/>
      <w:r w:rsidRPr="00800E25">
        <w:rPr>
          <w:rFonts w:ascii="Tahoma" w:eastAsia="Times New Roman" w:hAnsi="Tahoma" w:cs="Tahoma"/>
          <w:color w:val="444444"/>
          <w:sz w:val="21"/>
          <w:szCs w:val="21"/>
          <w:lang w:eastAsia="ru-RU"/>
        </w:rPr>
        <w:t>Полазненской</w:t>
      </w:r>
      <w:proofErr w:type="spellEnd"/>
      <w:r w:rsidRPr="00800E25">
        <w:rPr>
          <w:rFonts w:ascii="Tahoma" w:eastAsia="Times New Roman" w:hAnsi="Tahoma" w:cs="Tahoma"/>
          <w:color w:val="444444"/>
          <w:sz w:val="21"/>
          <w:szCs w:val="21"/>
          <w:lang w:eastAsia="ru-RU"/>
        </w:rPr>
        <w:t xml:space="preserve"> спортшкол, Школ искусств, ЦДОД «Логос», Школы </w:t>
      </w:r>
      <w:proofErr w:type="spellStart"/>
      <w:r w:rsidRPr="00800E25">
        <w:rPr>
          <w:rFonts w:ascii="Tahoma" w:eastAsia="Times New Roman" w:hAnsi="Tahoma" w:cs="Tahoma"/>
          <w:color w:val="444444"/>
          <w:sz w:val="21"/>
          <w:szCs w:val="21"/>
          <w:lang w:eastAsia="ru-RU"/>
        </w:rPr>
        <w:t>техрезерва</w:t>
      </w:r>
      <w:proofErr w:type="spellEnd"/>
      <w:r w:rsidRPr="00800E25">
        <w:rPr>
          <w:rFonts w:ascii="Tahoma" w:eastAsia="Times New Roman" w:hAnsi="Tahoma" w:cs="Tahoma"/>
          <w:color w:val="444444"/>
          <w:sz w:val="21"/>
          <w:szCs w:val="21"/>
          <w:lang w:eastAsia="ru-RU"/>
        </w:rPr>
        <w:t xml:space="preserve"> и Информационно-методического центра. В выводах сообщается, что в учреждениях отсутствует единый порядок установления должностных окладов, не установлен порядок формирования компенсационного фонда. При распределении средств стимулирующего фонда педагогических работников на другие категории сотрудников при доведении их выплат до минимального размера оплаты труда избыточные расходы бюджета составили 899 тысяч рублей.</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Установлено дублирование функций в должностных инструкциях. А дробление ставок при совместительстве приводит к увеличению числа получателей доплат до величины прожиточного минимума.</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Также отмечено, что при переводе непрофильных видов деятельности (уборка помещений и территории) на аутсорсинг, расчётная сумма экономии составит 2,284 миллиона рублей.</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 xml:space="preserve">В адрес главы администрации </w:t>
      </w:r>
      <w:proofErr w:type="spellStart"/>
      <w:r w:rsidRPr="00800E25">
        <w:rPr>
          <w:rFonts w:ascii="Tahoma" w:eastAsia="Times New Roman" w:hAnsi="Tahoma" w:cs="Tahoma"/>
          <w:color w:val="444444"/>
          <w:sz w:val="21"/>
          <w:szCs w:val="21"/>
          <w:lang w:eastAsia="ru-RU"/>
        </w:rPr>
        <w:t>Добрянского</w:t>
      </w:r>
      <w:proofErr w:type="spellEnd"/>
      <w:r w:rsidRPr="00800E25">
        <w:rPr>
          <w:rFonts w:ascii="Tahoma" w:eastAsia="Times New Roman" w:hAnsi="Tahoma" w:cs="Tahoma"/>
          <w:color w:val="444444"/>
          <w:sz w:val="21"/>
          <w:szCs w:val="21"/>
          <w:lang w:eastAsia="ru-RU"/>
        </w:rPr>
        <w:t xml:space="preserve"> района направлено письмо с рекомендациями по устранению нарушений.</w:t>
      </w:r>
    </w:p>
    <w:p w:rsidR="00800E25" w:rsidRPr="00800E25" w:rsidRDefault="00800E25" w:rsidP="00800E25">
      <w:pPr>
        <w:shd w:val="clear" w:color="auto" w:fill="FFFFFF"/>
        <w:spacing w:after="0" w:line="240" w:lineRule="auto"/>
        <w:jc w:val="center"/>
        <w:outlineLvl w:val="2"/>
        <w:rPr>
          <w:rFonts w:ascii="Tahoma" w:eastAsia="Times New Roman" w:hAnsi="Tahoma" w:cs="Tahoma"/>
          <w:b/>
          <w:bCs/>
          <w:color w:val="444444"/>
          <w:sz w:val="29"/>
          <w:szCs w:val="29"/>
          <w:lang w:eastAsia="ru-RU"/>
        </w:rPr>
      </w:pPr>
      <w:r w:rsidRPr="00800E25">
        <w:rPr>
          <w:rFonts w:ascii="Tahoma" w:eastAsia="Times New Roman" w:hAnsi="Tahoma" w:cs="Tahoma"/>
          <w:b/>
          <w:bCs/>
          <w:color w:val="444444"/>
          <w:sz w:val="29"/>
          <w:szCs w:val="29"/>
          <w:lang w:eastAsia="ru-RU"/>
        </w:rPr>
        <w:t>За выслугу не доплатили</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lastRenderedPageBreak/>
        <w:t>Вторая проверка касалась использования бюджетных средств, направленных на выплату пенсии за выслугу лет лицам, замещавшим муниципальные должности. Рассматривался период за 2018 год и первое полугодие 2019-го. Всего объём проверяемых средств составил 11 миллионов рублей.</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Выявлено, что в отношении двух получателей не проведена индексация пенсий. Есть нарушения в виде непредставления необходимых документов.</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В одном случае установлено превышение начисленной пенсии на 700 рублей.</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А в ряде случаев оказалось, что доплаты занижены. Так, по 22 получателям пенсии за выслугу лет насчитаны ниже установленного процента к страховой пенсии. За полтора года набежала невыплаченная общая сумма в 195,1 тысячи рублей.</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Выявлены факты нарушений сроков перечислений пенсий по 4 сельским поселениям.</w:t>
      </w:r>
    </w:p>
    <w:p w:rsidR="00800E25" w:rsidRPr="00800E25" w:rsidRDefault="00800E25" w:rsidP="00800E25">
      <w:pPr>
        <w:shd w:val="clear" w:color="auto" w:fill="FFFFFF"/>
        <w:spacing w:before="225" w:after="225" w:line="240" w:lineRule="auto"/>
        <w:ind w:firstLine="709"/>
        <w:jc w:val="both"/>
        <w:rPr>
          <w:rFonts w:ascii="Tahoma" w:eastAsia="Times New Roman" w:hAnsi="Tahoma" w:cs="Tahoma"/>
          <w:color w:val="444444"/>
          <w:sz w:val="21"/>
          <w:szCs w:val="21"/>
          <w:lang w:eastAsia="ru-RU"/>
        </w:rPr>
      </w:pPr>
      <w:r w:rsidRPr="00800E25">
        <w:rPr>
          <w:rFonts w:ascii="Tahoma" w:eastAsia="Times New Roman" w:hAnsi="Tahoma" w:cs="Tahoma"/>
          <w:color w:val="444444"/>
          <w:sz w:val="21"/>
          <w:szCs w:val="21"/>
          <w:lang w:eastAsia="ru-RU"/>
        </w:rPr>
        <w:t>Администрации направлено представление, на основании которого определены сроки устранения нарушений.</w:t>
      </w:r>
    </w:p>
    <w:p w:rsidR="003D7706" w:rsidRDefault="003D7706"/>
    <w:sectPr w:rsidR="003D7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EF"/>
    <w:rsid w:val="001E3218"/>
    <w:rsid w:val="003D7706"/>
    <w:rsid w:val="0050033C"/>
    <w:rsid w:val="005B7AEF"/>
    <w:rsid w:val="0080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915DC-E376-40C4-90CE-6D2E0FC0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230531">
      <w:bodyDiv w:val="1"/>
      <w:marLeft w:val="0"/>
      <w:marRight w:val="0"/>
      <w:marTop w:val="0"/>
      <w:marBottom w:val="0"/>
      <w:divBdr>
        <w:top w:val="none" w:sz="0" w:space="0" w:color="auto"/>
        <w:left w:val="none" w:sz="0" w:space="0" w:color="auto"/>
        <w:bottom w:val="none" w:sz="0" w:space="0" w:color="auto"/>
        <w:right w:val="none" w:sz="0" w:space="0" w:color="auto"/>
      </w:divBdr>
      <w:divsChild>
        <w:div w:id="1050038374">
          <w:marLeft w:val="0"/>
          <w:marRight w:val="0"/>
          <w:marTop w:val="0"/>
          <w:marBottom w:val="300"/>
          <w:divBdr>
            <w:top w:val="none" w:sz="0" w:space="0" w:color="auto"/>
            <w:left w:val="none" w:sz="0" w:space="0" w:color="auto"/>
            <w:bottom w:val="none" w:sz="0" w:space="0" w:color="auto"/>
            <w:right w:val="none" w:sz="0" w:space="0" w:color="auto"/>
          </w:divBdr>
        </w:div>
        <w:div w:id="255288300">
          <w:marLeft w:val="0"/>
          <w:marRight w:val="0"/>
          <w:marTop w:val="0"/>
          <w:marBottom w:val="0"/>
          <w:divBdr>
            <w:top w:val="none" w:sz="0" w:space="0" w:color="auto"/>
            <w:left w:val="none" w:sz="0" w:space="0" w:color="auto"/>
            <w:bottom w:val="none" w:sz="0" w:space="0" w:color="auto"/>
            <w:right w:val="none" w:sz="0" w:space="0" w:color="auto"/>
          </w:divBdr>
          <w:divsChild>
            <w:div w:id="813108485">
              <w:marLeft w:val="0"/>
              <w:marRight w:val="0"/>
              <w:marTop w:val="0"/>
              <w:marBottom w:val="0"/>
              <w:divBdr>
                <w:top w:val="none" w:sz="0" w:space="0" w:color="auto"/>
                <w:left w:val="none" w:sz="0" w:space="0" w:color="auto"/>
                <w:bottom w:val="none" w:sz="0" w:space="0" w:color="auto"/>
                <w:right w:val="none" w:sz="0" w:space="0" w:color="auto"/>
              </w:divBdr>
              <w:divsChild>
                <w:div w:id="1503280857">
                  <w:marLeft w:val="0"/>
                  <w:marRight w:val="0"/>
                  <w:marTop w:val="0"/>
                  <w:marBottom w:val="0"/>
                  <w:divBdr>
                    <w:top w:val="none" w:sz="0" w:space="0" w:color="auto"/>
                    <w:left w:val="none" w:sz="0" w:space="0" w:color="auto"/>
                    <w:bottom w:val="none" w:sz="0" w:space="0" w:color="auto"/>
                    <w:right w:val="none" w:sz="0" w:space="0" w:color="auto"/>
                  </w:divBdr>
                  <w:divsChild>
                    <w:div w:id="1625888595">
                      <w:marLeft w:val="0"/>
                      <w:marRight w:val="0"/>
                      <w:marTop w:val="0"/>
                      <w:marBottom w:val="0"/>
                      <w:divBdr>
                        <w:top w:val="none" w:sz="0" w:space="0" w:color="auto"/>
                        <w:left w:val="none" w:sz="0" w:space="0" w:color="auto"/>
                        <w:bottom w:val="none" w:sz="0" w:space="0" w:color="auto"/>
                        <w:right w:val="none" w:sz="0" w:space="0" w:color="auto"/>
                      </w:divBdr>
                      <w:divsChild>
                        <w:div w:id="1131167150">
                          <w:marLeft w:val="0"/>
                          <w:marRight w:val="0"/>
                          <w:marTop w:val="0"/>
                          <w:marBottom w:val="0"/>
                          <w:divBdr>
                            <w:top w:val="none" w:sz="0" w:space="0" w:color="auto"/>
                            <w:left w:val="none" w:sz="0" w:space="0" w:color="auto"/>
                            <w:bottom w:val="none" w:sz="0" w:space="0" w:color="auto"/>
                            <w:right w:val="none" w:sz="0" w:space="0" w:color="auto"/>
                          </w:divBdr>
                          <w:divsChild>
                            <w:div w:id="20313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obryanka.net/media/k2/items/src/a7e06c281aaf9bb8317ac3380384d53d.jpg" TargetMode="External"/><Relationship Id="rId4" Type="http://schemas.openxmlformats.org/officeDocument/2006/relationships/hyperlink" Target="http://dobryanka.net/news/ekonom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2020-01-10T07:45:00Z</dcterms:created>
  <dcterms:modified xsi:type="dcterms:W3CDTF">2020-01-10T07:45:00Z</dcterms:modified>
</cp:coreProperties>
</file>