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974FB6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974FB6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19B9" w:rsidRPr="00C119B9" w:rsidRDefault="000C1F12" w:rsidP="00C119B9">
      <w:pPr>
        <w:spacing w:after="0" w:line="240" w:lineRule="auto"/>
        <w:jc w:val="both"/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D0370D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C119B9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C119B9" w:rsidRPr="00C119B9">
        <w:rPr>
          <w:rFonts w:ascii="Times New Roman" w:hAnsi="Times New Roman" w:cs="Times New Roman"/>
          <w:sz w:val="20"/>
          <w:szCs w:val="20"/>
        </w:rPr>
        <w:t xml:space="preserve"> </w:t>
      </w:r>
      <w:r w:rsidR="00974FB6">
        <w:rPr>
          <w:rFonts w:ascii="Times New Roman" w:hAnsi="Times New Roman" w:cs="Times New Roman"/>
          <w:sz w:val="20"/>
          <w:szCs w:val="20"/>
        </w:rPr>
        <w:t>22</w:t>
      </w:r>
      <w:r w:rsidR="00E35732" w:rsidRPr="00C119B9">
        <w:rPr>
          <w:rFonts w:ascii="Times New Roman" w:hAnsi="Times New Roman" w:cs="Times New Roman"/>
          <w:sz w:val="20"/>
          <w:szCs w:val="20"/>
        </w:rPr>
        <w:t>.</w:t>
      </w:r>
      <w:r w:rsidR="00974FB6">
        <w:rPr>
          <w:rFonts w:ascii="Times New Roman" w:hAnsi="Times New Roman" w:cs="Times New Roman"/>
          <w:sz w:val="20"/>
          <w:szCs w:val="20"/>
        </w:rPr>
        <w:t>11</w:t>
      </w:r>
      <w:r w:rsidR="00E35732" w:rsidRPr="00C119B9">
        <w:rPr>
          <w:rFonts w:ascii="Times New Roman" w:hAnsi="Times New Roman" w:cs="Times New Roman"/>
          <w:sz w:val="20"/>
          <w:szCs w:val="20"/>
        </w:rPr>
        <w:t>.201</w:t>
      </w:r>
      <w:r w:rsidR="00FC5F72" w:rsidRPr="00C119B9">
        <w:rPr>
          <w:rFonts w:ascii="Times New Roman" w:hAnsi="Times New Roman" w:cs="Times New Roman"/>
          <w:sz w:val="20"/>
          <w:szCs w:val="20"/>
        </w:rPr>
        <w:t>9</w:t>
      </w:r>
      <w:r w:rsidR="00E35732" w:rsidRPr="00C119B9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C119B9">
        <w:rPr>
          <w:rFonts w:ascii="Times New Roman" w:hAnsi="Times New Roman" w:cs="Times New Roman"/>
          <w:bCs/>
          <w:sz w:val="20"/>
          <w:szCs w:val="20"/>
        </w:rPr>
        <w:t>№</w:t>
      </w:r>
      <w:r w:rsidR="00974FB6">
        <w:rPr>
          <w:rFonts w:ascii="Times New Roman" w:hAnsi="Times New Roman" w:cs="Times New Roman"/>
          <w:bCs/>
          <w:sz w:val="20"/>
          <w:szCs w:val="20"/>
        </w:rPr>
        <w:t>1912</w:t>
      </w:r>
      <w:r w:rsidR="00E35732" w:rsidRPr="00C119B9">
        <w:rPr>
          <w:rFonts w:ascii="Times New Roman" w:hAnsi="Times New Roman" w:cs="Times New Roman"/>
          <w:bCs/>
          <w:sz w:val="20"/>
          <w:szCs w:val="20"/>
        </w:rPr>
        <w:t>.</w:t>
      </w:r>
      <w:r w:rsidR="00C119B9" w:rsidRPr="00C119B9">
        <w:t xml:space="preserve"> </w:t>
      </w:r>
    </w:p>
    <w:p w:rsidR="00B76EDB" w:rsidRPr="008E3D7A" w:rsidRDefault="00B76EDB" w:rsidP="00C1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ноября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2073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дека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бря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C05273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 xml:space="preserve"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</w:t>
      </w:r>
      <w:r w:rsidRPr="00C05273">
        <w:rPr>
          <w:rFonts w:ascii="Times New Roman" w:hAnsi="Times New Roman" w:cs="Times New Roman"/>
          <w:sz w:val="20"/>
          <w:szCs w:val="20"/>
        </w:rPr>
        <w:t>участникам внесенные задатки.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974FB6">
        <w:rPr>
          <w:rFonts w:ascii="Times New Roman" w:hAnsi="Times New Roman" w:cs="Times New Roman"/>
          <w:sz w:val="20"/>
          <w:szCs w:val="20"/>
        </w:rPr>
        <w:t xml:space="preserve"> </w:t>
      </w:r>
      <w:r w:rsidRPr="00974FB6">
        <w:rPr>
          <w:rFonts w:ascii="Times New Roman" w:hAnsi="Times New Roman" w:cs="Times New Roman"/>
          <w:b/>
          <w:sz w:val="20"/>
          <w:szCs w:val="20"/>
        </w:rPr>
        <w:t>по лотам №2,3,9</w:t>
      </w:r>
      <w:r w:rsidRPr="00974FB6">
        <w:rPr>
          <w:rFonts w:ascii="Times New Roman" w:hAnsi="Times New Roman"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 по лотам №1,4,5,6,7,8</w:t>
      </w:r>
      <w:r w:rsidRPr="00974FB6">
        <w:rPr>
          <w:rFonts w:ascii="Times New Roman" w:hAnsi="Times New Roman" w:cs="Times New Roman"/>
          <w:sz w:val="20"/>
          <w:szCs w:val="20"/>
        </w:rPr>
        <w:t xml:space="preserve"> установлена на 30% ниже цены предыдущего аукциона, в связи с повторным выставлением на аукцион земельных участков.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на право заключения договора аренды</w:t>
      </w:r>
      <w:r w:rsidRPr="00974FB6">
        <w:rPr>
          <w:rFonts w:ascii="Times New Roman" w:hAnsi="Times New Roman" w:cs="Times New Roman"/>
          <w:sz w:val="20"/>
          <w:szCs w:val="20"/>
        </w:rPr>
        <w:t xml:space="preserve"> земельного участка установлена в размере ежегодной арендной платы, в размере 10% процентов кадастровой стоимости  земельного участка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974FB6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974FB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59:18:0010109:223,  общая площадь – 942,0 кв.м., расположенный по адресу: Пермский край, г. Добрянка, ул. Леонова, д.18, разрешенное использование – индивидуальные жилые дома на земельных участках 1-3 этажа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122365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6118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59:18:0010109:811,  общая площадь – 1654,0 кв.м., расположенный по адресу: Пермский край, г. Добрянка, ул. Леонова, д.24, разрешенное использование – индивидуальные жилые дома на земельных участках 1-3 этажа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306932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15347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59:18:0010407:670,  общая площадь – 935,0 кв.м., местоположение: Пермский край, Добрянский городской округ, г. Добрянка, ул. Братская, 39,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186710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9336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59:18:0010407:189,  общая площадь – 1200,0 кв.м., местоположение: Пермский край, Добрянский городской округ, г. Добрянка, ул. Братская, 19, разрешенное использование – для строительства жилого дома,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167311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8366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59:18:0010407:139,  общая площадь – 1060,0 кв.м., местоположение: Пермский край, Добрянский городской округ, г. Добрянка, ул. Берёзовая, 20,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147792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7390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№6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59:18:0010407:193,  общая площадь – 1350,0 кв.м., местоположение: Пермский край, Добрянский городской округ, г. Добрянка, ул. Братская, д.9, разрешенное использование – для строительства жилого дома,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188225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9411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974FB6" w:rsidRPr="00974FB6" w:rsidTr="00094374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№7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59:18:0040101:48,  общая площадь – 600,0 кв.м., местоположение: Пермский край, Добрянский городской округ, д. Горы, участок №62, разрешенное использование – для ведения гражданами садоводства и огородничества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11185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74FB6" w:rsidRPr="00974FB6" w:rsidTr="00094374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59:18:0010416:838,  общая площадь – 502,0 кв.м., местоположение: Пермский край, г. Добрянка, с/т «Дружба», участок №838, разрешенное использование – для ведения гражданами садоводства и огородничества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39585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74FB6" w:rsidRPr="00974FB6" w:rsidTr="00094374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59:18:0040101:334,  общая площадь – 1038,0 кв.м., местоположение: Пермский край, Добрянский городской округ, г. Добрянка, д. Горы, разрешенное использование – садовый земельный участок</w:t>
            </w:r>
            <w:r w:rsidRPr="00974F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27641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974FB6" w:rsidRPr="00974FB6" w:rsidTr="00094374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№10 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59:18:0011211:1,  общая площадь – 497,1 кв.м., местоположение: Пермский край, Добрянский городской округ, г. Добрянка, угол ул. Победы и Лесная, разрешенное использование – автомобильный транспорт (К-1),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30000*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974FB6" w:rsidRPr="00974FB6" w:rsidTr="00094374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4FB6" w:rsidRPr="00974FB6" w:rsidRDefault="00974FB6" w:rsidP="00F73BD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b/>
                <w:sz w:val="20"/>
                <w:szCs w:val="20"/>
              </w:rPr>
              <w:t>Лот №11</w:t>
            </w: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59:18:0010305:445,  общая площадь – 1100,0 кв.м., местоположение: Пермский край, Добрянский городской округ, г. Добрянка, мкр. Комарово, позиция 89а, разрешенное использование – для индивидуального жилищного строительства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24000*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4FB6" w:rsidRPr="00974FB6" w:rsidRDefault="00974FB6" w:rsidP="00F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B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>* по результатам аукциона устанавливается размер ежегодной арендной платы на весь период действия договора аренды земельного участка</w:t>
      </w:r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6A2D51">
        <w:rPr>
          <w:rFonts w:ascii="Times New Roman" w:hAnsi="Times New Roman" w:cs="Times New Roman"/>
          <w:sz w:val="20"/>
          <w:szCs w:val="20"/>
        </w:rPr>
        <w:t>муниципальной собственности и</w:t>
      </w:r>
      <w:r w:rsidR="00974FB6">
        <w:rPr>
          <w:rFonts w:ascii="Times New Roman" w:hAnsi="Times New Roman" w:cs="Times New Roman"/>
          <w:sz w:val="20"/>
          <w:szCs w:val="20"/>
        </w:rPr>
        <w:t>ли</w:t>
      </w:r>
      <w:r w:rsidR="006A2D51">
        <w:rPr>
          <w:rFonts w:ascii="Times New Roman" w:hAnsi="Times New Roman" w:cs="Times New Roman"/>
          <w:sz w:val="20"/>
          <w:szCs w:val="20"/>
        </w:rPr>
        <w:t xml:space="preserve"> 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r w:rsidR="00207332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н</w:t>
      </w:r>
      <w:r w:rsidR="003E5CE2">
        <w:rPr>
          <w:rFonts w:ascii="Times New Roman" w:hAnsi="Times New Roman" w:cs="Times New Roman"/>
          <w:sz w:val="20"/>
          <w:szCs w:val="20"/>
          <w:lang w:eastAsia="en-US"/>
        </w:rPr>
        <w:t>о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EA1DAD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DAD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974FB6" w:rsidRDefault="00974FB6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sz w:val="20"/>
          <w:szCs w:val="20"/>
        </w:rPr>
        <w:t xml:space="preserve">Инженерно-технические условия подключения для лотов 1,2,3,6,10: имеются источники подключения к электроснабжению, принадлежащие ОАО МРСК Урала, кроме лотов 4,5,7-9,11. Для лотов 1,2: есть источники подключения к сетям водоснабжения, кроме лотов 3-11. Для лотов 10,11: есть источники подключения к сетям газоснабжения, кроме лотов 1-9. </w:t>
      </w:r>
    </w:p>
    <w:p w:rsidR="0032108D" w:rsidRPr="007C141C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141C">
        <w:rPr>
          <w:rFonts w:ascii="Times New Roman" w:hAnsi="Times New Roman" w:cs="Times New Roman"/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7C141C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7C141C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C83BCB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C83BCB">
        <w:rPr>
          <w:i w:val="0"/>
          <w:sz w:val="20"/>
          <w:szCs w:val="20"/>
          <w:lang w:eastAsia="ru-RU"/>
        </w:rPr>
        <w:t>для лот</w:t>
      </w:r>
      <w:r w:rsidR="005F0093" w:rsidRPr="00C83BCB">
        <w:rPr>
          <w:i w:val="0"/>
          <w:sz w:val="20"/>
          <w:szCs w:val="20"/>
          <w:lang w:eastAsia="ru-RU"/>
        </w:rPr>
        <w:t>ов №</w:t>
      </w:r>
      <w:r w:rsidR="00EA307F" w:rsidRPr="00C83BCB">
        <w:rPr>
          <w:i w:val="0"/>
          <w:sz w:val="20"/>
          <w:szCs w:val="20"/>
          <w:lang w:eastAsia="ru-RU"/>
        </w:rPr>
        <w:t>№</w:t>
      </w:r>
      <w:r w:rsidR="00974FB6">
        <w:rPr>
          <w:i w:val="0"/>
          <w:sz w:val="20"/>
          <w:szCs w:val="20"/>
          <w:lang w:eastAsia="ru-RU"/>
        </w:rPr>
        <w:t>1-6,11</w:t>
      </w:r>
      <w:r w:rsidRPr="00C83BCB">
        <w:rPr>
          <w:i w:val="0"/>
          <w:sz w:val="20"/>
          <w:szCs w:val="20"/>
          <w:lang w:eastAsia="ru-RU"/>
        </w:rPr>
        <w:t xml:space="preserve"> - Ж-2</w:t>
      </w:r>
      <w:r w:rsidRPr="00C83BCB">
        <w:rPr>
          <w:b w:val="0"/>
          <w:i w:val="0"/>
          <w:sz w:val="20"/>
          <w:szCs w:val="20"/>
          <w:lang w:eastAsia="ru-RU"/>
        </w:rPr>
        <w:t xml:space="preserve">. </w:t>
      </w:r>
      <w:r w:rsidRPr="00C83BCB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C83BCB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83BCB">
        <w:rPr>
          <w:rFonts w:ascii="Times New Roman" w:hAnsi="Times New Roman" w:cs="Times New Roman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lastRenderedPageBreak/>
        <w:t xml:space="preserve">Расстояние до границы соседнего земельного участка: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C83BCB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C83BCB">
          <w:rPr>
            <w:rFonts w:ascii="Times New Roman" w:hAnsi="Times New Roman" w:cs="Times New Roman"/>
            <w:sz w:val="20"/>
            <w:szCs w:val="20"/>
          </w:rPr>
          <w:t>;</w:t>
        </w:r>
      </w:smartTag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C83BCB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C83BCB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C83BCB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83BCB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для лот</w:t>
      </w:r>
      <w:r w:rsidR="005D079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ов</w:t>
      </w: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№</w:t>
      </w:r>
      <w:r w:rsidR="00974FB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7-9</w:t>
      </w: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– Ж-3 - 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зона садовых участков</w:t>
      </w:r>
    </w:p>
    <w:p w:rsidR="00DD6545" w:rsidRPr="00DD6545" w:rsidRDefault="00DD6545" w:rsidP="00A3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Зона предназначена для размещения дачных и садовых участков с правом возведения дачных домов и садовых домов, используемых населением в целях отдыха  и выращивания сельскохозяйственных культур.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Основные виды разрешенного использования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-Малоэтажная жилая застройка (размещение дачных домов и садовых домов)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-Размещение жилого строения, не предназначенного для раздела на квартиры (строение, пригодное для постоянного проживания, высотой не выше трех надземных этажей); </w:t>
      </w:r>
    </w:p>
    <w:p w:rsidR="00A30F98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-выращивание плодовых, ягодных, овощных, бахчевых или иных декоративных или</w:t>
      </w:r>
      <w:r w:rsidR="00A30F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сельскохозяйственных культур.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Минимальные размеры земельных участков - 0,04 га.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 Максимальные размеры земельных участков - 0,2 га.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размеры земельных участков, сформированных до утверждения настоящих Правил не регламентируются.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 Максимальный процент застройки - 30%.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4. Противопожарные расстояния между строениями и сооружениями в пределах одного садового участка не нормируются.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5. Индивидуальные садовые (дачные) участки, как правило, должны быть ограждены. Ограждения с целью минимального затенения территории соседних участков должны быть сетчатые или решетчатые высотой не более 1,5 м. Допускается устройство глухих ограждений со стороны улиц и проездов по решению общего собрания членов садоводческого (дачного) объединения.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6.Расстояние от дачных  и садовых строений,  хозяйственных построек до границ земель общего пользования   улиц и проездов должно быть не менее 3 м.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7.Минимальные расстояния до границы соседнего участка по санитарно-бытовым условиям должны быть не менее, м: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 дачного  и садового строения - 3;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постройки для содержания мелкого скота и птицы - 4;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других построек (сарая, гаража, бани, навеса и др.) - 1;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-от стволов высокорослых деревьев - 4, среднерослых - 2;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кустарника - 1.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8.Минимальные расстояния между постройками по санитарно-бытовым условиям должны быть, м: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 дачного  и садового строения  и погреба до уборной и постройки для содержания мелкого скота и птицы - 12;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до душа, бани (сауны) - 8;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колодца до уборной и компостного устройства - 8.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расстояния должны соблюдаться как между постройками на одном участке, так и между постройками, расположенными на смежных участках.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9.При возведении на участке хозяйственных построек, располагаемых на расстоянии 1 м от границы соседнего садового участка, следует скат крыши ориентировать на свой участок. При строительстве жилых строений необходимо обеспечивать  условия  безопасности среды обитания граждан.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 допускается организация стока дождевой воды, схода снега с крыш,  а также стока хозяйственных вод бани и летнего душа на соседний участок, в том числе на земли общего пользования.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-Магазины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-Размещение объектов капитального строительства, предназначенных для продажи товаров, торговая площадь которых составляет до 50 кв.м.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Отдельно стоящие объекты  следует размещать с минимальным отступом от  границ земель общего пользования- 5 м, от границ смежных земельных участков-3м.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для лота №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10</w:t>
      </w: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К-1 – зона коммунальных объектов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Зона предназначена для размещения коммунальных предприятий и складских территорий, иных объектов в соответствии с нижеприведенными видами использования земельных участков и объектов капитального строительства.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Основные виды разрешенного использования: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Коммунальное обслуживание</w:t>
      </w: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"СП 42.13330.2011. Свод правил. Градостроительство. Планировка и застройка городских и сельских поселений,  нормативами градостроительного проектирования, проектом планировки.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Минимальные отступы от границ земельного участка: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Отступ от границ земельного участка не менее 1м.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 СП 42.13330.2011. Свод правил. Градостроительство. Планировка и застройка городских и сельских поселений, нормами освещенности, приведенными в СП 52.13330, а также в соответствии с противопожарными требованиями.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Предельное количество этажей или предельная высота зданий, строений, сооружений: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надземных этажей – 3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в границах земельного участка: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- 80%.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Иные показатели: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В жилой зоне допускается размещать объекты коммунального обслуживания населения с соблюдением параметров необходимых для создания санитарно – защитных и охранных зон.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Скат крыши следует ориентировать таким образом, чтобы сток дождевой воды и сход снега не попадал на соседний участок, в том числе на земли общего пользования.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Обеспечение деятельности в области гидрометеорологии и смежных с ней областях. </w:t>
      </w: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другие).</w:t>
      </w:r>
    </w:p>
    <w:p w:rsidR="00974FB6" w:rsidRPr="00BE6102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6102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соответствии с "СП 42.13330.2011. Свод правил. Градостроительство. Планировка и застройка городских и сельских поселений: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Минимальные отступы от границ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от границ земель общего пользования -5 м;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От границ смежных землепользователей – 3 м.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в границах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80 %.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Обслуживание автотранспорта.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1. Размер земельных участков гаражей и стоянок легковых автомобилей в зависимости от их этажности следует принимать на одно машино-место: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для гаражей: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одноэтажных - 30 кв.м.;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двухэтажных - 20 кв.м.;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наземных стоянок - 25 кв.м.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Размещение, въезды в подземные гаражи легковых автомобилей и выезды из них, а также нормы размещения открытых автостоянок следует принимать в соответствии с СанПиН 2.2.1/2.1.1.1200.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Автобусные парки (гаражи):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100 единиц(автомобиль) - 2,3 га на объект;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Гаражи грузовых автомобилей: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100 единиц(автомобиль)– 2 га на объект;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3. Станции технического обслуживания автомобилей следует проектировать из расчета один пост на 200 легковых автомобилей, принимая размеры их земельных участков для станций, га: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10 постов - 1,0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15  постов - 1,5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25  постов - 2,0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40  постов - 3,5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4.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 для станций, га: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2 колонки - 0,1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5 колонки - 0,2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7 колонки - 0,3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9 колонки - 0,35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11 колонки - 0,4 га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Минимальные отступы от границ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от границ земель общего пользования -5 м;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От границ смежных землепользователей – 3 м.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между жилыми и общественными зданиями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следует принимать на основе расчетов инсоляции 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освещенности, а также в соответствии с противопожарными требованиями.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этажей – 2;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в границах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80 %.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Иные показатели: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1. В соответствии с "СП 42.13330.2011. Свод правил. Градостроительство. Планировка и застройка городских и сельских поселений: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 Расстояния от АЗС с подземными резервуарами для хранения жидкого топлива до границ земельных участков детских дошкольных учреждений, общеобразовательных школ, школ-интернатов, лечебных учреждений со стационаром или до стен жилых и других общественных зданий и сооружений следует принимать не менее 50 м. Указанное расстояние следует определять от топливораздаточных колонок и подземных резервуаров для хранения жидкого топлива.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 Расстояния от АЗС, предназначенных для заправки только легковых автомобилей в количестве не более 500 машин в сутки, до указанных объектов допускается уменьшать, но принимать не менее 25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Склады: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Размер земельного участка следует принимать в соответствии со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СНиП II-89-80*. Генеральные планы промышленных предприятий"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Минимальные отступы от границ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от границ земель общего пользования -5 м;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От границ смежных землепользователей – 3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Систему складских комплексов, не связанных с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непосредственным повседневным обслуживанием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населения, в том числе входящие в многофункциональные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терминальные комплексы, следует формировать за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пределами населенных пунктов, особо охраняемых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территорий, зон с особыми условиями использования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территории, приближая их к узлам внешнего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преимущественно железнодорожного транспорта с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соблюдением санитарных, противопожарных и иных специальных норм.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этажей – 3;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в границах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60 %.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Автомобильный транспорт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автомобильных дорог и технически связанных с ним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(устройство мест стоянок) автомобильного транспорта, осуществляющего перевозки людей по установленному маршруту;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Расчет параметров улиц и дорог следует принимать в соответствии с "СП 42.13330.2011. Свод правил. Градостроительство. Планировка и застройка городских и сельских поселений.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Норма расчета стоянок автомобилей: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1. Конечные  (периферийные) и зонные станции скоростного пассажирского транспорта: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Число машино-мест: 5-10 ед.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2. Размер земельного участка для размещения автобусного парка (гаража):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100 единиц(Автомобиль) - 2,3 га на объект;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Минимальные отступы от границ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этажей – 3;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в границах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80 %.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Иные показатели: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Допускается устраивать велосипедные полосы по краю проезжей части улиц и дорог с выделением их маркировкой двойной линией.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 - транспорт" при скорости движения 40 и 60 км/ч должны быть соответственно не менее, м: 25 и 40. Для условий "пешеход - транспорт" размеры прямоугольного треугольника видимости должны быть при скорости движения транспорта 25 и 40 км/ч соответственно 8 x 40 и 10 x 50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Обеспечение внутреннего правопорядка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: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1. Отделение полиции – 0,3-0,5га на 1 объект;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Опорный пункт охраны порядка – 0,1-0,15га на объект.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3. Пожарное депо – 0,55-2,2 га на депо (в зависимости от количества автомобилей)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Минимальные отступы от границ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1. Расстояние от границ производственных участков расположенных в общественно-деловой зоне до общественных зданий следует принимать не менее 50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 Отступ строений от границы земельного участка в район существующей застройки – в соответствии со сложившейся ситуацией, в районе новой застройки - не менее 3 метров.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3. Расстояние от пожарного депо до границ земельных участков общеобразовательных школ, дошкольных организаций и лечебных учреждений – 30м 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Предельное количество этажей или предельная высота зданий, строений, сооружений: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Максимальное количество этажей – 3.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в границах земельного участка: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– 80%.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Условно разрешенные виды использования: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Ветеринарное обслуживание.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</w:t>
      </w: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Амбулаторное ветеринарное обслуживание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: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Минимальный размер земельного участка – 1000,0 кв.м.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Минимальные отступы от границ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в соответствии со сложившейся ситуацией,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районе новой застройки: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-от  границ земель общего пользования  улиц – не менее 5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-от границ смежных землепользователей -3 м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этажей – 3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в границах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80 %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lastRenderedPageBreak/>
        <w:t>Приюты для животных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: </w:t>
      </w: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Предельные (минимальные и (или) максимальные) размеры земельного участка: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Минимальный размер земельного участка – 3000,0 кв.м.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Минимальные отступы от границ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в соответствии со сложившейся ситуацией,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в районе новой застройки: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-от  границ земель общего пользования  улиц – не менее 5 м.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-от границ смежных землепользователей -3 м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Максимальное количество этажей – 3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Максимальный процент застройки в границах земельного участка: </w:t>
      </w:r>
    </w:p>
    <w:p w:rsidR="00974FB6" w:rsidRPr="00D87C76" w:rsidRDefault="00974FB6" w:rsidP="00974F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7C76">
        <w:rPr>
          <w:rFonts w:ascii="Times New Roman" w:eastAsia="Calibri" w:hAnsi="Times New Roman" w:cs="Times New Roman"/>
          <w:sz w:val="20"/>
          <w:szCs w:val="20"/>
          <w:lang w:eastAsia="en-US"/>
        </w:rPr>
        <w:t>Максимальный процент застройки – 80 %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№2</w:t>
      </w:r>
      <w:r w:rsidRPr="00974FB6">
        <w:rPr>
          <w:rFonts w:ascii="Times New Roman" w:hAnsi="Times New Roman" w:cs="Times New Roman"/>
          <w:sz w:val="20"/>
          <w:szCs w:val="20"/>
        </w:rPr>
        <w:t>: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пользования;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№3</w:t>
      </w:r>
      <w:r w:rsidRPr="00974FB6">
        <w:rPr>
          <w:rFonts w:ascii="Times New Roman" w:hAnsi="Times New Roman" w:cs="Times New Roman"/>
          <w:sz w:val="20"/>
          <w:szCs w:val="20"/>
        </w:rPr>
        <w:t>: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№7</w:t>
      </w:r>
      <w:r w:rsidRPr="00974FB6">
        <w:rPr>
          <w:rFonts w:ascii="Times New Roman" w:hAnsi="Times New Roman" w:cs="Times New Roman"/>
          <w:sz w:val="20"/>
          <w:szCs w:val="20"/>
        </w:rPr>
        <w:t>: Право (ограничение права, обременение объекта недвижимости) зарегистрировано на объект недвижимости с видом(-</w:t>
      </w:r>
      <w:proofErr w:type="spellStart"/>
      <w:r w:rsidRPr="00974FB6">
        <w:rPr>
          <w:rFonts w:ascii="Times New Roman" w:hAnsi="Times New Roman" w:cs="Times New Roman"/>
          <w:sz w:val="20"/>
          <w:szCs w:val="20"/>
        </w:rPr>
        <w:t>ами</w:t>
      </w:r>
      <w:proofErr w:type="spellEnd"/>
      <w:r w:rsidRPr="00974FB6">
        <w:rPr>
          <w:rFonts w:ascii="Times New Roman" w:hAnsi="Times New Roman" w:cs="Times New Roman"/>
          <w:sz w:val="20"/>
          <w:szCs w:val="20"/>
        </w:rPr>
        <w:t>) разрешенного использования: для садоводства;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№8</w:t>
      </w:r>
      <w:r w:rsidRPr="00974FB6">
        <w:rPr>
          <w:rFonts w:ascii="Times New Roman" w:hAnsi="Times New Roman" w:cs="Times New Roman"/>
          <w:sz w:val="20"/>
          <w:szCs w:val="20"/>
        </w:rPr>
        <w:t>: Право (ограничение права, обременение объекта недвижимости) зарегистрировано на объект недвижимости с видом(-</w:t>
      </w:r>
      <w:proofErr w:type="spellStart"/>
      <w:r w:rsidRPr="00974FB6">
        <w:rPr>
          <w:rFonts w:ascii="Times New Roman" w:hAnsi="Times New Roman" w:cs="Times New Roman"/>
          <w:sz w:val="20"/>
          <w:szCs w:val="20"/>
        </w:rPr>
        <w:t>ами</w:t>
      </w:r>
      <w:proofErr w:type="spellEnd"/>
      <w:r w:rsidRPr="00974FB6">
        <w:rPr>
          <w:rFonts w:ascii="Times New Roman" w:hAnsi="Times New Roman" w:cs="Times New Roman"/>
          <w:sz w:val="20"/>
          <w:szCs w:val="20"/>
        </w:rPr>
        <w:t>) разрешенного использования: для садоводства;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№9</w:t>
      </w:r>
      <w:r w:rsidRPr="00974FB6">
        <w:rPr>
          <w:rFonts w:ascii="Times New Roman" w:hAnsi="Times New Roman" w:cs="Times New Roman"/>
          <w:sz w:val="20"/>
          <w:szCs w:val="20"/>
        </w:rPr>
        <w:t>: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974FB6" w:rsidRPr="00974FB6" w:rsidRDefault="00974FB6" w:rsidP="00974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FB6">
        <w:rPr>
          <w:rFonts w:ascii="Times New Roman" w:hAnsi="Times New Roman" w:cs="Times New Roman"/>
          <w:b/>
          <w:sz w:val="20"/>
          <w:szCs w:val="20"/>
        </w:rPr>
        <w:t>Лот №10</w:t>
      </w:r>
      <w:r w:rsidRPr="00974FB6">
        <w:rPr>
          <w:rFonts w:ascii="Times New Roman" w:hAnsi="Times New Roman" w:cs="Times New Roman"/>
          <w:sz w:val="20"/>
          <w:szCs w:val="20"/>
        </w:rPr>
        <w:t>: Ограничения прав на земельный участок, предусмотренные статьями 56, 56.1 Земельного Кодекса Российской Федерации; Реквизиты документа-основания: Постановление администрации города от 11.05.2004 №768 выдан: Администрация города. 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10.09.2015; Реквизиты документа-основания: Приказ «Об утверждении границ охранных зон газопроводов ЗАО «Газпром газораспределение Пермь» от 18.12.2012 №СЭД-31-02-1230 выдан «Министерство по управлению имуществом и земельным отношениям Пермского края».</w:t>
      </w:r>
    </w:p>
    <w:p w:rsidR="006F79C5" w:rsidRPr="00D171EA" w:rsidRDefault="006F79C5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r w:rsidRPr="00140E84">
        <w:rPr>
          <w:rFonts w:ascii="Times New Roman" w:hAnsi="Times New Roman" w:cs="Times New Roman"/>
          <w:b/>
          <w:sz w:val="20"/>
          <w:szCs w:val="20"/>
        </w:rPr>
        <w:t>л/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</w:t>
      </w:r>
      <w:r w:rsidR="00174C87">
        <w:rPr>
          <w:rFonts w:ascii="Times New Roman" w:hAnsi="Times New Roman" w:cs="Times New Roman"/>
          <w:b/>
          <w:sz w:val="20"/>
          <w:szCs w:val="20"/>
        </w:rPr>
        <w:t>5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563290100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Организатор аукциона обязан вернуть заявителю, не </w:t>
      </w:r>
      <w:bookmarkStart w:id="0" w:name="_GoBack"/>
      <w:bookmarkEnd w:id="0"/>
      <w:r w:rsidRPr="00D171EA">
        <w:rPr>
          <w:rFonts w:ascii="Times New Roman" w:hAnsi="Times New Roman" w:cs="Times New Roman"/>
          <w:sz w:val="20"/>
          <w:szCs w:val="20"/>
        </w:rPr>
        <w:t>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>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A30F9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94F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FB6">
        <w:rPr>
          <w:rFonts w:ascii="Times New Roman" w:hAnsi="Times New Roman" w:cs="Times New Roman"/>
          <w:b/>
          <w:sz w:val="20"/>
          <w:szCs w:val="20"/>
          <w:u w:val="single"/>
        </w:rPr>
        <w:t>дека</w:t>
      </w:r>
      <w:r w:rsidR="005D0796">
        <w:rPr>
          <w:rFonts w:ascii="Times New Roman" w:hAnsi="Times New Roman" w:cs="Times New Roman"/>
          <w:b/>
          <w:sz w:val="20"/>
          <w:szCs w:val="20"/>
          <w:u w:val="single"/>
        </w:rPr>
        <w:t>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</w:t>
      </w:r>
      <w:r w:rsidRPr="00407172">
        <w:rPr>
          <w:rFonts w:ascii="Times New Roman" w:hAnsi="Times New Roman" w:cs="Times New Roman"/>
          <w:sz w:val="20"/>
          <w:szCs w:val="20"/>
        </w:rPr>
        <w:lastRenderedPageBreak/>
        <w:t>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974FB6">
        <w:rPr>
          <w:rFonts w:ascii="Times New Roman" w:hAnsi="Times New Roman" w:cs="Times New Roman"/>
          <w:sz w:val="20"/>
          <w:szCs w:val="20"/>
        </w:rPr>
        <w:t>03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974FB6">
        <w:rPr>
          <w:rFonts w:ascii="Times New Roman" w:hAnsi="Times New Roman" w:cs="Times New Roman"/>
          <w:sz w:val="20"/>
          <w:szCs w:val="20"/>
        </w:rPr>
        <w:t>12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</w:t>
      </w:r>
      <w:r w:rsidR="00974FB6">
        <w:rPr>
          <w:rFonts w:ascii="Times New Roman" w:hAnsi="Times New Roman" w:cs="Times New Roman"/>
          <w:sz w:val="20"/>
          <w:szCs w:val="20"/>
        </w:rPr>
        <w:t>11</w:t>
      </w:r>
      <w:r w:rsidR="00FA78CB" w:rsidRPr="00FA78CB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94FC8"/>
    <w:rsid w:val="000A3B1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74C87"/>
    <w:rsid w:val="001816E9"/>
    <w:rsid w:val="00182820"/>
    <w:rsid w:val="001870E8"/>
    <w:rsid w:val="001A1966"/>
    <w:rsid w:val="001C7641"/>
    <w:rsid w:val="0020049C"/>
    <w:rsid w:val="00207332"/>
    <w:rsid w:val="00227162"/>
    <w:rsid w:val="00236412"/>
    <w:rsid w:val="0024731D"/>
    <w:rsid w:val="00263572"/>
    <w:rsid w:val="00266F33"/>
    <w:rsid w:val="00270D29"/>
    <w:rsid w:val="00271831"/>
    <w:rsid w:val="0028631F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A75DF"/>
    <w:rsid w:val="003E5CE2"/>
    <w:rsid w:val="003E6BBD"/>
    <w:rsid w:val="003F40CD"/>
    <w:rsid w:val="003F41B9"/>
    <w:rsid w:val="003F6051"/>
    <w:rsid w:val="00407172"/>
    <w:rsid w:val="00414386"/>
    <w:rsid w:val="00443B02"/>
    <w:rsid w:val="004628B0"/>
    <w:rsid w:val="00476A2B"/>
    <w:rsid w:val="004838A8"/>
    <w:rsid w:val="00484F3C"/>
    <w:rsid w:val="004A3F20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0796"/>
    <w:rsid w:val="005D5776"/>
    <w:rsid w:val="005D6A92"/>
    <w:rsid w:val="005F0093"/>
    <w:rsid w:val="005F0872"/>
    <w:rsid w:val="00603FAE"/>
    <w:rsid w:val="00623764"/>
    <w:rsid w:val="00623B8F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D5D6B"/>
    <w:rsid w:val="006E1B03"/>
    <w:rsid w:val="006F79C5"/>
    <w:rsid w:val="0070709E"/>
    <w:rsid w:val="00723F0E"/>
    <w:rsid w:val="00724F22"/>
    <w:rsid w:val="00734C66"/>
    <w:rsid w:val="00763B76"/>
    <w:rsid w:val="00773A96"/>
    <w:rsid w:val="00780C46"/>
    <w:rsid w:val="007850B7"/>
    <w:rsid w:val="007A40DD"/>
    <w:rsid w:val="007A70D9"/>
    <w:rsid w:val="007C141C"/>
    <w:rsid w:val="007C4EF5"/>
    <w:rsid w:val="007C6C64"/>
    <w:rsid w:val="007D1657"/>
    <w:rsid w:val="007E6F03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74FB6"/>
    <w:rsid w:val="009829D9"/>
    <w:rsid w:val="00984F04"/>
    <w:rsid w:val="00992132"/>
    <w:rsid w:val="00995EAA"/>
    <w:rsid w:val="009A000D"/>
    <w:rsid w:val="009A312A"/>
    <w:rsid w:val="009D2157"/>
    <w:rsid w:val="009E07A1"/>
    <w:rsid w:val="009F260A"/>
    <w:rsid w:val="009F5292"/>
    <w:rsid w:val="009F5C95"/>
    <w:rsid w:val="00A00255"/>
    <w:rsid w:val="00A006AA"/>
    <w:rsid w:val="00A00F3F"/>
    <w:rsid w:val="00A2424A"/>
    <w:rsid w:val="00A30F98"/>
    <w:rsid w:val="00A416D4"/>
    <w:rsid w:val="00A45597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AF2BF9"/>
    <w:rsid w:val="00B048C5"/>
    <w:rsid w:val="00B1516B"/>
    <w:rsid w:val="00B34292"/>
    <w:rsid w:val="00B349B8"/>
    <w:rsid w:val="00B47A6E"/>
    <w:rsid w:val="00B524EC"/>
    <w:rsid w:val="00B721CF"/>
    <w:rsid w:val="00B76EDB"/>
    <w:rsid w:val="00B8702A"/>
    <w:rsid w:val="00B8768A"/>
    <w:rsid w:val="00BB2ADC"/>
    <w:rsid w:val="00BC0722"/>
    <w:rsid w:val="00BC4174"/>
    <w:rsid w:val="00BF28D2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D654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1DAD"/>
    <w:rsid w:val="00EA307F"/>
    <w:rsid w:val="00EA7967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53E7-B874-4AAB-970B-D28EFA65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6339</Words>
  <Characters>36137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42392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113</cp:revision>
  <cp:lastPrinted>2018-09-24T04:40:00Z</cp:lastPrinted>
  <dcterms:created xsi:type="dcterms:W3CDTF">2018-02-16T06:02:00Z</dcterms:created>
  <dcterms:modified xsi:type="dcterms:W3CDTF">2019-12-06T11:28:00Z</dcterms:modified>
</cp:coreProperties>
</file>