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1C069B">
        <w:rPr>
          <w:rFonts w:ascii="Times New Roman" w:hAnsi="Times New Roman" w:cs="Times New Roman"/>
          <w:b/>
          <w:sz w:val="20"/>
          <w:szCs w:val="20"/>
        </w:rPr>
        <w:t>по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63711A">
        <w:rPr>
          <w:rFonts w:ascii="Times New Roman" w:hAnsi="Times New Roman" w:cs="Times New Roman"/>
          <w:sz w:val="20"/>
          <w:szCs w:val="20"/>
        </w:rPr>
        <w:t>по</w:t>
      </w:r>
      <w:r w:rsidR="005F0093">
        <w:rPr>
          <w:rFonts w:ascii="Times New Roman" w:hAnsi="Times New Roman" w:cs="Times New Roman"/>
          <w:sz w:val="20"/>
          <w:szCs w:val="20"/>
        </w:rPr>
        <w:t xml:space="preserve">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A46D14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D14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356E21">
        <w:rPr>
          <w:rFonts w:ascii="Times New Roman" w:hAnsi="Times New Roman" w:cs="Times New Roman"/>
          <w:sz w:val="20"/>
          <w:szCs w:val="20"/>
        </w:rPr>
        <w:t>12</w:t>
      </w:r>
      <w:r w:rsidR="00E35732" w:rsidRPr="00A46D14">
        <w:rPr>
          <w:rFonts w:ascii="Times New Roman" w:hAnsi="Times New Roman" w:cs="Times New Roman"/>
          <w:sz w:val="20"/>
          <w:szCs w:val="20"/>
        </w:rPr>
        <w:t>.</w:t>
      </w:r>
      <w:r w:rsidR="00356E21">
        <w:rPr>
          <w:rFonts w:ascii="Times New Roman" w:hAnsi="Times New Roman" w:cs="Times New Roman"/>
          <w:sz w:val="20"/>
          <w:szCs w:val="20"/>
        </w:rPr>
        <w:t>11</w:t>
      </w:r>
      <w:r w:rsidR="00E35732" w:rsidRPr="00A46D14">
        <w:rPr>
          <w:rFonts w:ascii="Times New Roman" w:hAnsi="Times New Roman" w:cs="Times New Roman"/>
          <w:sz w:val="20"/>
          <w:szCs w:val="20"/>
        </w:rPr>
        <w:t>.201</w:t>
      </w:r>
      <w:r w:rsidR="00FC5F72" w:rsidRPr="00A46D14">
        <w:rPr>
          <w:rFonts w:ascii="Times New Roman" w:hAnsi="Times New Roman" w:cs="Times New Roman"/>
          <w:sz w:val="20"/>
          <w:szCs w:val="20"/>
        </w:rPr>
        <w:t>9</w:t>
      </w:r>
      <w:r w:rsidR="00E35732" w:rsidRPr="00A46D14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A46D14">
        <w:rPr>
          <w:rFonts w:ascii="Times New Roman" w:hAnsi="Times New Roman" w:cs="Times New Roman"/>
          <w:bCs/>
          <w:sz w:val="20"/>
          <w:szCs w:val="20"/>
        </w:rPr>
        <w:t>№</w:t>
      </w:r>
      <w:r w:rsidR="00356E21">
        <w:rPr>
          <w:rFonts w:ascii="Times New Roman" w:hAnsi="Times New Roman" w:cs="Times New Roman"/>
          <w:bCs/>
          <w:sz w:val="20"/>
          <w:szCs w:val="20"/>
        </w:rPr>
        <w:t>1812</w:t>
      </w:r>
      <w:r w:rsidR="00E35732" w:rsidRPr="00A46D14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proofErr w:type="spell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ноября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56E21">
        <w:rPr>
          <w:rFonts w:ascii="Times New Roman" w:hAnsi="Times New Roman" w:cs="Times New Roman"/>
          <w:b/>
          <w:sz w:val="20"/>
          <w:szCs w:val="20"/>
          <w:u w:val="single"/>
        </w:rPr>
        <w:t>декаб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6A4FA5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участникам внесенные </w:t>
      </w:r>
      <w:r w:rsidRPr="006A4FA5">
        <w:rPr>
          <w:rFonts w:ascii="Times New Roman" w:hAnsi="Times New Roman" w:cs="Times New Roman"/>
          <w:sz w:val="20"/>
          <w:szCs w:val="20"/>
        </w:rPr>
        <w:t>задатки.</w:t>
      </w:r>
    </w:p>
    <w:p w:rsidR="000B0EA8" w:rsidRPr="000B0EA8" w:rsidRDefault="001612B8" w:rsidP="000B0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658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0B0EA8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договоров аренды и </w:t>
      </w:r>
      <w:r w:rsidRPr="0006658A">
        <w:rPr>
          <w:rFonts w:ascii="Times New Roman" w:hAnsi="Times New Roman" w:cs="Times New Roman"/>
          <w:b/>
          <w:sz w:val="20"/>
          <w:szCs w:val="20"/>
        </w:rPr>
        <w:t>продаже земельных участков в собственность</w:t>
      </w:r>
      <w:r w:rsidRPr="0006658A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06658A">
        <w:rPr>
          <w:rFonts w:ascii="Times New Roman" w:hAnsi="Times New Roman" w:cs="Times New Roman"/>
          <w:sz w:val="20"/>
          <w:szCs w:val="20"/>
        </w:rPr>
        <w:t>№№</w:t>
      </w:r>
      <w:r w:rsidR="0063711A">
        <w:rPr>
          <w:rFonts w:ascii="Times New Roman" w:hAnsi="Times New Roman" w:cs="Times New Roman"/>
          <w:sz w:val="20"/>
          <w:szCs w:val="20"/>
        </w:rPr>
        <w:t>1-</w:t>
      </w:r>
      <w:r w:rsidR="00356E21">
        <w:rPr>
          <w:rFonts w:ascii="Times New Roman" w:hAnsi="Times New Roman" w:cs="Times New Roman"/>
          <w:sz w:val="20"/>
          <w:szCs w:val="20"/>
        </w:rPr>
        <w:t>3</w:t>
      </w:r>
      <w:r w:rsidR="000B0EA8" w:rsidRPr="000B0EA8">
        <w:rPr>
          <w:rFonts w:ascii="Times New Roman" w:hAnsi="Times New Roman" w:cs="Times New Roman"/>
          <w:sz w:val="20"/>
          <w:szCs w:val="20"/>
        </w:rPr>
        <w:t xml:space="preserve">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C44A8C" w:rsidRDefault="00443B02" w:rsidP="00C44A8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44A8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B2C72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C72" w:rsidRPr="005B2C72" w:rsidRDefault="005B2C72" w:rsidP="005170B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 xml:space="preserve">Лот № 1 - земельный участок с кадастровым номером 59:18:0020303:340,  общая площадь – 1208,0 кв.м., местоположение: Пермский край, Добрянский городской округ, </w:t>
            </w:r>
            <w:proofErr w:type="spellStart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. Полазна, ул. Малевича, д.4,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эконом-класса</w:t>
            </w:r>
            <w:proofErr w:type="gramEnd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от 62 до 100 кв.м. и бизнес-класса – от 115 до 169 кв.м.)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546000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27300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</w:tr>
      <w:tr w:rsidR="005B2C72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C72" w:rsidRPr="005B2C72" w:rsidRDefault="005B2C72" w:rsidP="005170B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 xml:space="preserve">Лот № 2 - земельный участок с кадастровым номером 59:18:0020401:6960,  общая площадь – 1112,0 кв.м., местоположение: Пермский край, Добрянский городской округ, </w:t>
            </w:r>
            <w:proofErr w:type="spellStart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. Полазна, пер. Спортивный-2, з/у 12, разрешенное использование – отдельно стоящие жилые дома на одну семью. Не выше 3-х этажей с приусадебными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508200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25410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5B2C72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C72" w:rsidRPr="005B2C72" w:rsidRDefault="005B2C72" w:rsidP="005170B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  <w:r w:rsidRPr="005B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</w:t>
            </w:r>
            <w:bookmarkStart w:id="0" w:name="_GoBack"/>
            <w:bookmarkEnd w:id="0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 xml:space="preserve">ом 59:18:0120101:944,  общая площадь – 1765,0 кв.м., местоположение: </w:t>
            </w:r>
            <w:proofErr w:type="gramStart"/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д. Мохово, ул. Любимая, разрешенное использование – для индивидуального жилищного строительства (ЖМ),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556010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27800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C72" w:rsidRPr="005B2C72" w:rsidRDefault="005B2C72" w:rsidP="0051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7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</w:tr>
    </w:tbl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B0EA8">
        <w:rPr>
          <w:rFonts w:ascii="Times New Roman" w:hAnsi="Times New Roman" w:cs="Times New Roman"/>
          <w:sz w:val="20"/>
          <w:szCs w:val="20"/>
        </w:rPr>
        <w:t xml:space="preserve"> </w:t>
      </w:r>
      <w:r w:rsidR="006A2D51">
        <w:rPr>
          <w:rFonts w:ascii="Times New Roman" w:hAnsi="Times New Roman" w:cs="Times New Roman"/>
          <w:sz w:val="20"/>
          <w:szCs w:val="20"/>
        </w:rPr>
        <w:t xml:space="preserve">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6A2D51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 </w:t>
      </w:r>
      <w:r w:rsidR="00A46D14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A46D14" w:rsidRPr="00D171EA">
        <w:rPr>
          <w:rFonts w:ascii="Times New Roman" w:hAnsi="Times New Roman" w:cs="Times New Roman"/>
          <w:sz w:val="20"/>
          <w:szCs w:val="20"/>
          <w:lang w:eastAsia="en-US"/>
        </w:rPr>
        <w:t>о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EB0681" w:rsidRPr="00A55F05" w:rsidRDefault="000D54C1" w:rsidP="00EB06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681">
        <w:rPr>
          <w:rFonts w:ascii="Times New Roman" w:hAnsi="Times New Roman" w:cs="Times New Roman"/>
          <w:sz w:val="20"/>
          <w:szCs w:val="20"/>
        </w:rPr>
        <w:t>И</w:t>
      </w:r>
      <w:r w:rsidR="00B76EDB" w:rsidRPr="00EB0681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EB0681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EB0681">
        <w:rPr>
          <w:rFonts w:ascii="Times New Roman" w:hAnsi="Times New Roman" w:cs="Times New Roman"/>
          <w:b/>
          <w:sz w:val="20"/>
          <w:szCs w:val="20"/>
        </w:rPr>
        <w:t>лот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ов</w:t>
      </w:r>
      <w:r w:rsidR="00263572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1-</w:t>
      </w:r>
      <w:r w:rsidR="00356E21">
        <w:rPr>
          <w:rFonts w:ascii="Times New Roman" w:hAnsi="Times New Roman" w:cs="Times New Roman"/>
          <w:b/>
          <w:sz w:val="20"/>
          <w:szCs w:val="20"/>
        </w:rPr>
        <w:t>3</w:t>
      </w:r>
      <w:r w:rsidR="00B76EDB" w:rsidRPr="00EB0681">
        <w:rPr>
          <w:rFonts w:ascii="Times New Roman" w:hAnsi="Times New Roman" w:cs="Times New Roman"/>
          <w:sz w:val="20"/>
          <w:szCs w:val="20"/>
        </w:rPr>
        <w:t xml:space="preserve">: </w:t>
      </w:r>
      <w:r w:rsidR="00EB0681" w:rsidRPr="00EB0681">
        <w:rPr>
          <w:rFonts w:ascii="Times New Roman" w:hAnsi="Times New Roman" w:cs="Times New Roman"/>
          <w:sz w:val="20"/>
          <w:szCs w:val="20"/>
        </w:rPr>
        <w:t xml:space="preserve">нет </w:t>
      </w:r>
      <w:r w:rsidRPr="00EB0681">
        <w:rPr>
          <w:rFonts w:ascii="Times New Roman" w:hAnsi="Times New Roman" w:cs="Times New Roman"/>
          <w:sz w:val="20"/>
          <w:szCs w:val="20"/>
        </w:rPr>
        <w:t>источник</w:t>
      </w:r>
      <w:r w:rsidR="00EB0681" w:rsidRPr="00EB0681">
        <w:rPr>
          <w:rFonts w:ascii="Times New Roman" w:hAnsi="Times New Roman" w:cs="Times New Roman"/>
          <w:sz w:val="20"/>
          <w:szCs w:val="20"/>
        </w:rPr>
        <w:t>ов</w:t>
      </w:r>
      <w:r w:rsidRPr="00EB0681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EB0681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EB0681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1-</w:t>
      </w:r>
      <w:r w:rsidR="00356E21">
        <w:rPr>
          <w:rFonts w:ascii="Times New Roman" w:hAnsi="Times New Roman" w:cs="Times New Roman"/>
          <w:b/>
          <w:sz w:val="20"/>
          <w:szCs w:val="20"/>
        </w:rPr>
        <w:t>3</w:t>
      </w:r>
      <w:r w:rsidR="00172DBF" w:rsidRPr="00EB068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 w:rsidRPr="00EB0681">
        <w:rPr>
          <w:rFonts w:ascii="Times New Roman" w:hAnsi="Times New Roman" w:cs="Times New Roman"/>
          <w:sz w:val="20"/>
          <w:szCs w:val="20"/>
        </w:rPr>
        <w:t>есть</w:t>
      </w:r>
      <w:r w:rsidR="0065417A" w:rsidRPr="00EB0681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EB0681">
        <w:rPr>
          <w:rFonts w:ascii="Times New Roman" w:hAnsi="Times New Roman" w:cs="Times New Roman"/>
          <w:sz w:val="20"/>
          <w:szCs w:val="20"/>
        </w:rPr>
        <w:t>источник</w:t>
      </w:r>
      <w:r w:rsidR="00B529F7" w:rsidRPr="00EB0681">
        <w:rPr>
          <w:rFonts w:ascii="Times New Roman" w:hAnsi="Times New Roman" w:cs="Times New Roman"/>
          <w:sz w:val="20"/>
          <w:szCs w:val="20"/>
        </w:rPr>
        <w:t>и</w:t>
      </w:r>
      <w:r w:rsidR="00CE4175" w:rsidRPr="00EB0681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EB0681">
        <w:rPr>
          <w:rFonts w:ascii="Times New Roman" w:hAnsi="Times New Roman" w:cs="Times New Roman"/>
          <w:sz w:val="20"/>
          <w:szCs w:val="20"/>
        </w:rPr>
        <w:t>газоснабжения</w:t>
      </w:r>
      <w:r w:rsidR="00B529F7" w:rsidRPr="00EB0681">
        <w:rPr>
          <w:rFonts w:ascii="Times New Roman" w:hAnsi="Times New Roman" w:cs="Times New Roman"/>
          <w:sz w:val="20"/>
          <w:szCs w:val="20"/>
        </w:rPr>
        <w:t>, в радиусе 500 м</w:t>
      </w:r>
      <w:r w:rsidR="00172DBF" w:rsidRPr="00EB0681">
        <w:rPr>
          <w:rFonts w:ascii="Times New Roman" w:hAnsi="Times New Roman" w:cs="Times New Roman"/>
          <w:sz w:val="20"/>
          <w:szCs w:val="20"/>
        </w:rPr>
        <w:t>.</w:t>
      </w:r>
      <w:r w:rsidR="00C073E8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Для лотов 1-</w:t>
      </w:r>
      <w:r w:rsidR="00356E21">
        <w:rPr>
          <w:rFonts w:ascii="Times New Roman" w:hAnsi="Times New Roman" w:cs="Times New Roman"/>
          <w:b/>
          <w:sz w:val="20"/>
          <w:szCs w:val="20"/>
        </w:rPr>
        <w:t>3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B0681" w:rsidRPr="00EB0681">
        <w:rPr>
          <w:rFonts w:ascii="Times New Roman" w:hAnsi="Times New Roman" w:cs="Times New Roman"/>
          <w:sz w:val="20"/>
          <w:szCs w:val="20"/>
        </w:rPr>
        <w:t>есть источник</w:t>
      </w:r>
      <w:r w:rsidR="00EB0681" w:rsidRPr="00A55F05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ОАО ПЗСП «Вернисаж»</w:t>
      </w:r>
      <w:r w:rsidR="00A46D14">
        <w:rPr>
          <w:rFonts w:ascii="Times New Roman" w:hAnsi="Times New Roman" w:cs="Times New Roman"/>
          <w:sz w:val="20"/>
          <w:szCs w:val="20"/>
        </w:rPr>
        <w:t>,</w:t>
      </w:r>
      <w:r w:rsidR="00EB0681" w:rsidRPr="00A55F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A55F05">
        <w:rPr>
          <w:rFonts w:ascii="Times New Roman" w:hAnsi="Times New Roman" w:cs="Times New Roman"/>
          <w:sz w:val="20"/>
          <w:szCs w:val="20"/>
        </w:rPr>
        <w:t>нет источников подключения к электроснабжению, принадлежащие АО «МРСК»</w:t>
      </w:r>
      <w:r w:rsidR="00EB0681" w:rsidRPr="00A55F05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0E7B22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B22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0E7B22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0E7B22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E7B22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для лотов №№1-</w:t>
      </w:r>
      <w:r w:rsidR="00356E21">
        <w:rPr>
          <w:rFonts w:ascii="Times New Roman" w:hAnsi="Times New Roman" w:cs="Times New Roman"/>
          <w:b/>
          <w:sz w:val="20"/>
          <w:szCs w:val="20"/>
        </w:rPr>
        <w:t>3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– ЖМ</w:t>
      </w:r>
      <w:r w:rsidRPr="00FD1D2C">
        <w:rPr>
          <w:rFonts w:ascii="Times New Roman" w:hAnsi="Times New Roman" w:cs="Times New Roman"/>
          <w:sz w:val="20"/>
          <w:szCs w:val="20"/>
        </w:rPr>
        <w:t xml:space="preserve"> – </w:t>
      </w:r>
      <w:r w:rsidRPr="00FD1D2C">
        <w:rPr>
          <w:rFonts w:ascii="Times New Roman" w:hAnsi="Times New Roman" w:cs="Times New Roman"/>
          <w:b/>
          <w:sz w:val="20"/>
          <w:szCs w:val="20"/>
        </w:rPr>
        <w:t>зона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1D2C">
        <w:rPr>
          <w:rFonts w:ascii="Times New Roman" w:eastAsia="Times New Roman" w:hAnsi="Times New Roman" w:cs="Times New Roman"/>
          <w:b/>
          <w:sz w:val="20"/>
          <w:szCs w:val="20"/>
        </w:rPr>
        <w:t xml:space="preserve">индивидуальной жилой застройки городского типа (коттеджная застройка)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Зона выделена для обеспечения правовых условий формирования кварталов комфортного жилья на территориях застройки и 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размещения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отдельно стоящих одноквартирных жилых домов (коттеджей), блокированных жилых домов, многоквартирных жилых домов, с количеством этажей не более трех с придомовыми участками и без них с минимально разрешенным набором услуг местного значения.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1.1. Основные виды разрешенного использования: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отдельно стоящие односемейные  жилые дома (коттеджи) не более трёх этажей (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эконом-класса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площадью от 62 до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бизнес-класса – от 115 до </w:t>
      </w:r>
      <w:smartTag w:uri="urn:schemas-microsoft-com:office:smarttags" w:element="metricconverter">
        <w:smartTagPr>
          <w:attr w:name="ProductID" w:val="169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169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) с земельными участками;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блокированные дома не более 10 квартир с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участками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таунхаусы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сады или иные детские дошкольные учреждения;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площадки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отдыха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выгула собак 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жилищно-эксплуатационные и аварийно-диспетчерские пункты;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объекты наружного противопожарного водоснабжения.  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1.2. Условно разрешенные виды использования: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специализированное жилье для инвалидов и престарелых;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обслуживания повседневного пользования, строительство которых возможно на участках общего пользования: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магазины, объекты мелкорозничной торговой сети общей площадью более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нестационарные торговые объекты (павильоны, киоски, палатки розничной торговли);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кафе, другие предприятия общественного питания (встроенные, пристроенные), до 50 посадочных мест;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аптеки, медицинские кабинеты, пункты оказания первичной медицинской помощи;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предприятия бытового обслуживания (парикмахерские, бани, сауны);  предприятия общественного питания;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общего (начального, основного, полного) образования; библиотеки;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приёмные пункты прачечных и химчисток;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индивидуальные бани, надворные туалеты;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объекты обслуживания повседневного пользования, строительство которых возможно на индивидуальных участках: блокированных жилых домов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), отдельно стоящих одноквартирных жилых домов (коттеджах):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сады, огороды;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ландшафтный дизайн;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палисадники открытого вида с газоном, цветниками и цветущими кустарниками; 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теплицы; хозяйственные блоки с техническими помещениями;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летние гостевые строения;  гаражи; открытые автостоянки на 2-3 индивидуальные легковые автомобиля;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связанные с отправлением культа;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жилищно-эксплуатационные предприятия с ремонтными мастерскими;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надомные индивидуальные виды деятельности в соответствии с санитарными и противопожарными нормами;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1.3. Вспомогательные виды разрешенного использования: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раздаточные пункты детской молочной кухни;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отдельно стоящие или встроенные в жилые дома гаражи;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строения для содержания домашних животных и птицы;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колодцы; скважины для забора воды на полив;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места на участке для парковки (на 1-2 машины);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газоны с цветниками, цветущими кустарниками;  отдельные деревья, открытые, встроенные автостоянки на 1- 2 индивидуальные легковые автомобиля;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открытые гостевые автостоянки;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малые архитектурные формы;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обеспечивающие условия для беспрепятственного передвижения инвалидов и других мало мобильных групп населения;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опорные пункты охраны порядка, аварийно-диспетчерские пункты;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пожарной охраны.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площадки для сбора и вывоза бытового мусора с контейнерами;  канализационные насосные станции.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 Размеры участков (кварталов) малоэтажной застройки: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2.1.1. Размер земельного участка при доме определяется региональными градостроительными нормативами с учётом демографической структуры населения в зависимости от типа дома и других местных особенностей.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Размеры земельных участков отдельно стоящих  жилых домов (коттеджей) – 1000 – </w:t>
      </w:r>
      <w:smartTag w:uri="urn:schemas-microsoft-com:office:smarttags" w:element="metricconverter">
        <w:smartTagPr>
          <w:attr w:name="ProductID" w:val="15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Размеры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участков: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- 200-</w:t>
      </w:r>
      <w:smartTag w:uri="urn:schemas-microsoft-com:office:smarttags" w:element="metricconverter">
        <w:smartTagPr>
          <w:attr w:name="ProductID" w:val="4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более (включая площадь застройки) – при одно-, двух, или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четырёхквартирных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одно-, двухэтажных домах в застройке коттеджного типа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proofErr w:type="gramEnd"/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не менее 600 м²- при двухквартирных жилых домах.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 Нормативные показатели малоэтажной застройки</w:t>
      </w:r>
    </w:p>
    <w:p w:rsidR="0063711A" w:rsidRPr="00FD1D2C" w:rsidRDefault="0063711A" w:rsidP="0063711A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2.2.1. Нормативное соотношение территорий различного функционального назначения в составе жилых образований коттеджной застройки,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901"/>
        <w:gridCol w:w="1936"/>
        <w:gridCol w:w="1917"/>
        <w:gridCol w:w="1861"/>
      </w:tblGrid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жилого образования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жилой застройки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общественной застройки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 зелёных насаждений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Улицы, проезды, стоянки</w:t>
            </w:r>
          </w:p>
        </w:tc>
      </w:tr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Коттеджный посёлок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75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3,0-8,0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14,0-16,0</w:t>
            </w:r>
          </w:p>
        </w:tc>
      </w:tr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коттеджной застройки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85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5,0-7,0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2.2.2. Показатели плотности застройки участков территориальных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734"/>
        <w:gridCol w:w="2965"/>
      </w:tblGrid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Территориальные зоны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застройки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плотности застройки</w:t>
            </w:r>
          </w:p>
        </w:tc>
      </w:tr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Застройка многоквартирными жилыми домами малой (и средней) этажности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Застройка блокированными жилыми домами с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приквартирными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земельными участками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2.2.3. Расстояния между малоэтажной застройкой  и другими жилыми зданиями, хозяйственными постройками принимаются на основе расчетов инсоляции и освещенности в соответствии с нормами инсоляции  и нормами освещенности, а также с противопожарными требованиями: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нормируемая продолжительность непрерывной инсоляции для помещений строений устанавливается: для центральной зоны (58º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с.ш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 - 48º с. ш.) – не менее 2 ч в день с 22 марта по 22 сентября (в отдельных случаях допускается одноразовая прерывность инсоляции жилых помещений при условии увеличения суммарной продолжительности инсоляции в течение дня на 0,5 ч);  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расстояния (бытовые разрывы) между длинными сторонами зданий высотой 2-3 этажа – не менее </w:t>
      </w:r>
      <w:smartTag w:uri="urn:schemas-microsoft-com:office:smarttags" w:element="metricconverter">
        <w:smartTagPr>
          <w:attr w:name="ProductID" w:val="1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между длинными сторонами и торцами этих же зданий с окнами из жилых комнат – не менее </w:t>
      </w:r>
      <w:smartTag w:uri="urn:schemas-microsoft-com:office:smarttags" w:element="metricconverter">
        <w:smartTagPr>
          <w:attr w:name="ProductID" w:val="1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  расстояния могут быть сокращены при соблюдении норм инсоляции и освещенности;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2.2.4. Малоэтажная застройка располагается с отступом от красных линий и с соблюдением расстояний: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., красной линии проездов – не менее чем на </w:t>
      </w:r>
      <w:smartTag w:uri="urn:schemas-microsoft-com:office:smarttags" w:element="metricconverter">
        <w:smartTagPr>
          <w:attr w:name="ProductID" w:val="3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от кустарника – 1м;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площадок для мусоросборников до физкультурных площадок, площадок для игр детей и отдыха взрослых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2.2.5. В отдельных случаях могут быть установлены особые градостроительные требования к использованию территориальных зон или их частей по дополнительным направлениям: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инженерная подготовка и инженерное оборудование (водопонижение);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поверхностный водоотвод;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коммуникационные коридоры;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централизованные,  автономные системы жизнеобеспечения и т.д.);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2.2.6. Противопожарные требования (аналогичные противопожарным требованиям к застройке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количество въездов на территорию комплекса застройки – не менее 2-х;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проезды с твёрдым покрытием к каждой секции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таунхаусов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 устройством разъездных карманов; расстояние от края основной проезжей части улицы и проездов до линии застройки следует принимать не более </w:t>
      </w:r>
      <w:smartTag w:uri="urn:schemas-microsoft-com:office:smarttags" w:element="metricconverter">
        <w:smartTagPr>
          <w:attr w:name="ProductID" w:val="2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тупиковые проезды должны заканчиваться разворотными площадками размерами 12х12 м;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сквозные проезды (арки) при непрерывном фронте секционных строений – шириной не менее </w:t>
      </w:r>
      <w:smartTag w:uri="urn:schemas-microsoft-com:office:smarttags" w:element="metricconverter">
        <w:smartTagPr>
          <w:attr w:name="ProductID" w:val="3,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3,5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через каждые </w:t>
      </w:r>
      <w:smartTag w:uri="urn:schemas-microsoft-com:office:smarttags" w:element="metricconverter">
        <w:smartTagPr>
          <w:attr w:name="ProductID" w:val="3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при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периметральной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застройке квартала не далее, чем через </w:t>
      </w:r>
      <w:smartTag w:uri="urn:schemas-microsoft-com:office:smarttags" w:element="metricconverter">
        <w:smartTagPr>
          <w:attr w:name="ProductID" w:val="2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минимальные расстояния между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другими жилыми и хозяйственными постройками, принимаемые в зависимости от степени огнестойкости здания: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131"/>
        <w:gridCol w:w="1131"/>
        <w:gridCol w:w="4094"/>
      </w:tblGrid>
      <w:tr w:rsidR="0063711A" w:rsidRPr="00FD1D2C" w:rsidTr="006F6F98">
        <w:tc>
          <w:tcPr>
            <w:tcW w:w="3686" w:type="dxa"/>
            <w:vMerge w:val="restart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огнестойкости здания</w:t>
            </w:r>
          </w:p>
        </w:tc>
        <w:tc>
          <w:tcPr>
            <w:tcW w:w="6378" w:type="dxa"/>
            <w:gridSpan w:val="3"/>
          </w:tcPr>
          <w:p w:rsidR="0063711A" w:rsidRPr="00FD1D2C" w:rsidRDefault="0063711A" w:rsidP="006F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Расстояние, </w:t>
            </w:r>
            <w:proofErr w:type="gram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степени огнестойкости зданий</w:t>
            </w:r>
          </w:p>
        </w:tc>
      </w:tr>
      <w:tr w:rsidR="0063711A" w:rsidRPr="005B2C72" w:rsidTr="006F6F98">
        <w:tc>
          <w:tcPr>
            <w:tcW w:w="3686" w:type="dxa"/>
            <w:vMerge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 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IV       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V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Расстояния между указанными строениями не нормируются при суммарной площади застройки, включая незастроенную площадь между ними, меньшей или равной наибольшей допустимой площади для зданий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огнестойкости – 2200 кв.м,;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– 1800 кв.м.;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(одноэтажные здания) – 1400 кв.м;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(двухэтажные) – 1000 кв.м;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а степени (одноэтажные) – 1000 кв.м,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(двухэтажные) – 800 кв.м.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Территории застройки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должны быть обеспечены обслуживанием пожарным депо (с радиусом обслуживания не более </w:t>
      </w:r>
      <w:smartTag w:uri="urn:schemas-microsoft-com:office:smarttags" w:element="metricconverter">
        <w:smartTagPr>
          <w:attr w:name="ProductID" w:val="3 к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км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), с обеспечением пожарными гидрантами на кольцевой водопроводной сети на расстоянии не более </w:t>
      </w:r>
      <w:smartTag w:uri="urn:schemas-microsoft-com:office:smarttags" w:element="metricconverter">
        <w:smartTagPr>
          <w:attr w:name="ProductID" w:val="15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 зданий и сооружений.</w:t>
      </w:r>
    </w:p>
    <w:p w:rsidR="0063711A" w:rsidRPr="00FD1D2C" w:rsidRDefault="0063711A" w:rsidP="006371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Противопожарные требования следует принимать в соответствии с главой 15 «Требования пожарной безопасности при градостроительной деятельности» раздела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»Требования пожарной безопасности при 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</w:t>
      </w:r>
      <w:smartTag w:uri="urn:schemas-microsoft-com:office:smarttags" w:element="metricconverter">
        <w:smartTagPr>
          <w:attr w:name="ProductID" w:val="2008 г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 №123-ФЗ).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3. Ограничения использования земельных участков и объектов капитального строительства. </w:t>
      </w:r>
    </w:p>
    <w:p w:rsidR="0063711A" w:rsidRPr="00FD1D2C" w:rsidRDefault="0063711A" w:rsidP="006371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Часть территории зоны застройки малоэтажными жилыми домами совпадает с зонами с особыми условиями использования территории для земельных участков, находящихся в границах санитарно-защитной зоны (С3). Ограничения отражены в части 3 пункт 3.3 статьи 84 Правил;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C44A8C" w:rsidRPr="00FD1D2C" w:rsidRDefault="00C44A8C" w:rsidP="00C44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Лот №1: </w:t>
      </w:r>
      <w:r w:rsidRPr="00FD1D2C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59:18:0020303:335.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140E8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40E8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055632901</w:t>
      </w:r>
      <w:r w:rsidR="00736EF7">
        <w:rPr>
          <w:rFonts w:ascii="Times New Roman" w:hAnsi="Times New Roman" w:cs="Times New Roman"/>
          <w:b/>
          <w:sz w:val="20"/>
          <w:szCs w:val="20"/>
        </w:rPr>
        <w:t>80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44A8C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44A8C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44A8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B06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C44A8C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44A8C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lastRenderedPageBreak/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C44A8C">
        <w:rPr>
          <w:rFonts w:ascii="Times New Roman" w:hAnsi="Times New Roman" w:cs="Times New Roman"/>
          <w:sz w:val="20"/>
          <w:szCs w:val="20"/>
        </w:rPr>
        <w:t>19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C44A8C">
        <w:rPr>
          <w:rFonts w:ascii="Times New Roman" w:hAnsi="Times New Roman" w:cs="Times New Roman"/>
          <w:sz w:val="20"/>
          <w:szCs w:val="20"/>
        </w:rPr>
        <w:t>11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</w:t>
      </w:r>
      <w:r w:rsidR="00BE58FE">
        <w:rPr>
          <w:rFonts w:ascii="Times New Roman" w:hAnsi="Times New Roman" w:cs="Times New Roman"/>
          <w:sz w:val="20"/>
          <w:szCs w:val="20"/>
        </w:rPr>
        <w:t>3</w:t>
      </w:r>
      <w:r w:rsidR="00FA78CB" w:rsidRPr="00FA78CB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08B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A3B18"/>
    <w:rsid w:val="000B0EA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70E8"/>
    <w:rsid w:val="001A1966"/>
    <w:rsid w:val="001C069B"/>
    <w:rsid w:val="001C7641"/>
    <w:rsid w:val="0020049C"/>
    <w:rsid w:val="00227162"/>
    <w:rsid w:val="0024731D"/>
    <w:rsid w:val="00263572"/>
    <w:rsid w:val="00266F33"/>
    <w:rsid w:val="00270D29"/>
    <w:rsid w:val="00271831"/>
    <w:rsid w:val="0028631F"/>
    <w:rsid w:val="00290AC0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56E21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B2C72"/>
    <w:rsid w:val="005D5776"/>
    <w:rsid w:val="005D6A92"/>
    <w:rsid w:val="005F0093"/>
    <w:rsid w:val="005F0872"/>
    <w:rsid w:val="00603FAE"/>
    <w:rsid w:val="00623764"/>
    <w:rsid w:val="00636E9D"/>
    <w:rsid w:val="0063711A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E1B03"/>
    <w:rsid w:val="006F79C5"/>
    <w:rsid w:val="0070709E"/>
    <w:rsid w:val="00724F22"/>
    <w:rsid w:val="00734C66"/>
    <w:rsid w:val="00736EF7"/>
    <w:rsid w:val="00763B76"/>
    <w:rsid w:val="00773A96"/>
    <w:rsid w:val="00780C46"/>
    <w:rsid w:val="007850B7"/>
    <w:rsid w:val="007A40DD"/>
    <w:rsid w:val="007C4EF5"/>
    <w:rsid w:val="007C6C64"/>
    <w:rsid w:val="00806897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B6797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6D14"/>
    <w:rsid w:val="00A47AC1"/>
    <w:rsid w:val="00A56136"/>
    <w:rsid w:val="00A75DEB"/>
    <w:rsid w:val="00A85F96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524EC"/>
    <w:rsid w:val="00B529F7"/>
    <w:rsid w:val="00B721CF"/>
    <w:rsid w:val="00B76EDB"/>
    <w:rsid w:val="00B8702A"/>
    <w:rsid w:val="00B8768A"/>
    <w:rsid w:val="00BB2ADC"/>
    <w:rsid w:val="00BC0722"/>
    <w:rsid w:val="00BC4174"/>
    <w:rsid w:val="00BE58FE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44A8C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307F"/>
    <w:rsid w:val="00EA7967"/>
    <w:rsid w:val="00EB0681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74D6-7831-4057-AD1D-9341D93C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97</cp:revision>
  <cp:lastPrinted>2018-09-24T04:40:00Z</cp:lastPrinted>
  <dcterms:created xsi:type="dcterms:W3CDTF">2018-02-16T06:02:00Z</dcterms:created>
  <dcterms:modified xsi:type="dcterms:W3CDTF">2019-11-18T05:12:00Z</dcterms:modified>
</cp:coreProperties>
</file>